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广州市信用评级报告(区域部分)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州经济总量列广东省第二位，人均GDP约16.83万元、人均经济实力居全省前列，经济增速由4.59%回落至4.00%、有所放缓；固定资产投资最新增速转负（-6.70%），经济动能仍有待修复。【待补充：广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广州市2023、2024、2025年地区生产总值分别为30,723.56亿元、30,903.42亿元、32,039.46亿元，同比增长4.59%、2.00%、4.00%。截至2025年末，全市常住人口1910.10万人，人均GDP约16.83万元。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产业结构方面，2025年广州市三次产业结构为0.99:24.06:74.95。【待补充：支柱产业、主要龙头企业、对外贸易等定性描述（数据库未覆盖）】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2023、2024、2025年固定资产投资增速分别为3.60%、0.15%、-6.70%，2025年社会消费品零售总额11,032.38亿元，进出口总额1,737.00亿美元。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广州市2025年GDP总量32,039.46亿元、列全省第二位，一般公共预算收入2,184.82亿元、列全省第二位。整体来看，广州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广州市财政体量在广东省位居前列，税收占比71.86%、税收质量较好，但政府性基金收入较2023年累计下降38%、土地财政贡献度弱化；2025年末宽口径债务率402.57%、处于偏高水平，已显著高于公认的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广州市一般公共预算收入分别为1,945.10亿元、1,954.70亿元、2,184.82亿元，其中税收收入1,369.75亿元、1,372.37亿元、1,570.00亿元，税收占比维持在70.42%、70.21%、71.86%；一般公共预算支出2,971.60亿元、2,782.50亿元、2,801.54亿元，财政自给率65.46%、70.25%、77.99%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政府性基金收入方面，2023、2024、2025年分别为1,621.90亿元、1,281.70亿元、1,000.00亿元，政府性基金收入较2023年累计下降38%、土地财政贡献度弱化，反映地方综合财力对房地产周期的敞口。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图表：2023-2025年广州市财政收入情况(单位:亿元、%)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1,945.10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1,372.37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2,782.50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资料来源:广州市财政决算、企业预警通,风控信评部整理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广州市经营性用地成交价分别为2,524.20亿元、1,561.60亿元、1,558.13亿元、971.45亿元、681.60亿元，2025年较2021年下降73.00%；同期平均溢价率为5.12%、1.27%、5.44%、3.43%、3.18%；成交楼面均价由6,607元/㎡降至2,059元/㎡、累计下降68.84%。2026年1-4月，广州市经营性用地累计成交71宗、规划建面1061.18万㎡、成交价324.76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图表:2021-2025年广州市土地出让情况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3,819.71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6,607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2,524.20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3,286.13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4,752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1,561.60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4,306.03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1,558.13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3,423.84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971.45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3,308.03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681.60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1061.18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广州市商品住宅成交面积由1,267.55万㎡变动至740.60万㎡、累计下降41.6%；新房均价2025年为32,703元/㎡、较2023年高点(38,000元/㎡)累计下跌13.94%；2025年去化周期26.64个月。据中指冰山指数(最低挂牌价口径)，广州二手房挂牌价较2018年7月高点累计下跌41.84%，2023年累计跌幅-8.34%、2024年累计跌幅-13.64%、2025年累计跌幅-12.67%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广州市地方政府债务余额分别为5,532.23亿元、6,482.84亿元、7,458.30亿元，2025年末债务限额7,566.73亿元，债务余额控制在限额以内；城投有息债务2025年末估算余额11,452.30亿元。债务率指标看，2025年末政府债务率158.77%、城投债务率243.80%、宽口径债务率402.57%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广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