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鞍山市信用评级报告(区域部分)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鞍山作为辽宁省下辖地级市，经济总量列辽宁省第三位，人均经济实力居省内中游，经济增速维持在5.50%左右、总体平稳；固定资产投资最新增速转负（-10.40%），经济动能仍有待修复。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鞍山市2023、2024、2025年地区生产总值分别为2,080.20亿元、2,129.50亿元、2,180.40亿元，同比增长5.66%、5.00%、5.50%。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产业结构方面，2025年鞍山市三次产业结构为5.8:31.1:63，第三产业占主导、服务业是经济主体。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2023、2024、2025年固定资产投资增速分别为12.03%、7.10%、-10.40%，2025年社会消费品零售总额820.90亿元，进出口总额43.51亿美元。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鞍山市2025年GDP总量2,180.40亿元、列全省第三位，一般公共预算收入175.44亿元、列全省第三位。整体来看，鞍山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鞍山市财政体量在辽宁省位居前列，税收占比66.19%、税收质量较好，但政府性基金收入较2023年累计下降67%、土地财政贡献度弱化；2025年末宽口径债务率682.45%、处于偏高水平，已显著高于公认的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鞍山市一般公共预算收入分别为160.38亿元、172.25亿元、175.44亿元，其中税收收入115.15亿元、112.36亿元、116.13亿元，税收占比维持在71.80%、65.23%、66.19%；一般公共预算支出310.46亿元、311.46亿元、295.50亿元，财政自给率51.66%、55.30%、59.37%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政府性基金收入方面，2023、2024、2025年分别为42.74亿元、43.06亿元、14.22亿元，政府性基金收入较2023年累计下降67%、土地财政贡献度弱化，反映地方综合财力对房地产周期的敞口。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图表：2023-2025年鞍山市财政收入情况(单位:亿元、%)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116.13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-66.98%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资料来源:鞍山市财政决算、企业预警通,风控信评部整理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土地市场方面，【待补充:鞍山市土地出让与房地产销售数据（土地市场数据库未覆盖该市）】。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鞍山市地方政府债务余额分别为973.42亿元、1,028.30亿元、1,097.70亿元，2025年末债务限额1,116.60亿元，债务余额控制在限额以内；城投有息债务2025年末估算余额216.62亿元。债务率指标看，2025年末政府债务率569.97%、城投债务率112.48%、宽口径债务率682.45%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鞍山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