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咸阳市信用评级报告(区域部分)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咸阳作为陕西省下辖地级市，经济总量列陕西省第三位，人均GDP约7.65万元、人均经济实力在省内相对靠后，经济增速由3.70%回升至5.50%、动能边际改善；固定资产投资最新增速5.70%，经济运行总体平稳。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咸阳市2023、2024、2025年地区生产总值分别为2,824.18亿元、3,000.36亿元、3,104.53亿元，同比增长3.70%、6.50%、5.50%。截至2025年末，全市常住人口403.77万人，人均GDP约7.65万元。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产业结构方面，2025年咸阳市三次产业结构为14.4:35.9:49.7，第三产业占主导、服务业是经济主体。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2023、2024、2025年固定资产投资增速分别为1.70%、10.70%、5.70%，2025年社会消费品零售总额965.74亿元，进出口总额20.27亿美元。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咸阳市2025年GDP总量3,104.53亿元、列全省第三位，一般公共预算收入118.17亿元、列全省第四位。整体来看，咸阳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咸阳市财政体量在陕西省处于中游，税收占比62.76%、税收质量较好，但政府性基金收入总体平稳；2025年末宽口径债务率960.65%、处于偏高水平，已显著高于公认的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咸阳市一般公共预算收入分别为138.63亿元、114.66亿元、118.17亿元，其中税收收入81.37亿元、80.99亿元、74.16亿元，税收占比维持在58.70%、70.64%、62.76%；一般公共预算支出529.79亿元、517.51亿元、520.49亿元，财政自给率26.17%、22.16%、22.70%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政府性基金收入方面，2023、2024、2025年分别为78.03亿元、67.42亿元、71.39亿元，政府性基金收入总体平稳，反映地方综合财力对房地产周期的敞口。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图表：2023-2025年咸阳市财政收入情况(单位:亿元、%)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-8.43%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资料来源:咸阳市财政决算、企业预警通,风控信评部整理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土地市场方面，【待补充:咸阳市土地出让与房地产销售数据（土地市场数据库未覆盖该市）】。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咸阳市地方政府债务余额分别为524.60亿元、644.24亿元、812.90亿元，2025年末债务限额831.00亿元，债务余额控制在限额以内；城投有息债务2025年末估算余额1,068.44亿元。债务率指标看，2025年末政府债务率415.08%、城投债务率545.57%、宽口径债务率960.65%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咸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