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商洛市信用评级报告(区域部分)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商洛作为陕西省下辖地级市，经济总量列陕西省第八位，人均GDP约4.10万元、人均经济实力在省内相对靠后，经济增速由-0.20%回升至5.80%、动能边际改善；固定资产投资最新增速10.40%，经济运行总体平稳。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商洛市2023、2024、2025年地区生产总值分别为738.04亿元、780.13亿元、823.92亿元，同比增长-0.20%、6.33%、5.80%。截至2025年末，全市常住人口200.51万人，人均GDP约4.10万元。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产业结构方面，商洛作为陕西省下辖地级市，区域产业结构以本地优势产业为主。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2023、2024、2025年固定资产投资增速分别为1.80%、15.00%、10.40%，2025年社会消费品零售总额320.00亿元，进出口总额0.86亿美元。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图表：2025年陕西省各地级市主要经济指标对比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13,902.67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2.39:28.56:69.05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979.35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1323.63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榆林市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7,501.06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咸阳市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3,104.53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14.4:35.9:49.7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403.77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宝鸡市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2,648.87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112.07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延安市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2,372.17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10.9:53.4:35.7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221.82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渭南市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20.2:25.7:54.1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453.38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汉中市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823.92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200.51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607.15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6.5:33.8:59.7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70.36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商洛市2025年GDP总量823.92亿元、列全省第八位，一般公共预算收入32.20亿元、列全省第九位。整体来看，商洛市经济基本面在陕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商洛市财政体量在陕西省处于中游，税收占比54.35%、税收占比处于一般水平，但政府性基金收入较2023年累计下降61%、土地财政贡献度弱化；2025年末宽口径债务率1521.16%、处于偏高水平，已显著高于公认的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商洛市一般公共预算收入分别为30.29亿元、31.86亿元、32.20亿元，其中税收收入17.76亿元、17.31亿元、17.50亿元，税收占比维持在58.61%、54.34%、54.35%；一般公共预算支出315.16亿元、325.98亿元、330.21亿元，财政自给率9.61%、9.77%、9.75%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政府性基金收入方面，2023、2024、2025年分别为25.11亿元、15.28亿元、9.69亿元，政府性基金收入较2023年累计下降61%、土地财政贡献度弱化，反映地方综合财力对房地产周期的敞口。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图表：2023-2025年商洛市财政收入情况(单位:亿元、%)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23.99%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1.07%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1.10%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315.16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325.98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330.21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-39.15%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-36.58%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资料来源:商洛市财政决算、企业预警通,风控信评部整理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土地市场方面，【待补充:商洛市土地出让与房地产销售数据（土地市场数据库未覆盖该市）】。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商洛市地方政府债务余额分别为442.87亿元、512.78亿元、584.10亿元，2025年末债务限额604.30亿元，债务余额控制在限额以内；城投有息债务2025年末估算余额54.16亿元。债务率指标看，2025年末政府债务率1392.07%、城投债务率129.09%、宽口径债务率1521.16%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商洛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