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安康市信用评级报告(区域部分)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安康作为陕西省下辖地级市，经济总量列陕西省第十位，人均经济实力居省内中游，经济增速由0.10%回升至5.60%、动能边际改善；固定资产投资最新增速8.50%，经济运行总体平稳。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安康市2023、2024、2025年地区生产总值分别为1,078.01亿元、1,140.69亿元、—亿元，同比增长0.10%、5.95%、5.60%。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产业结构方面，安康作为陕西省下辖地级市，区域产业结构以本地优势产业为主。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2023、2024、2025年固定资产投资增速分别为0.30%、11.60%、8.50%，进出口总额1.68亿美元。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图表：2025年陕西省各地级市主要经济指标对比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西安市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13,902.67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2.39:28.56:69.05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979.35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1323.63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榆林市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7,501.06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562.52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362.00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咸阳市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3,104.53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14.4:35.9:49.7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403.77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宝鸡市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2,648.87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112.07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延安市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2,372.17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10.9:53.4:35.7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173.97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221.82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渭南市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2,231.76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20.2:25.7:54.1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453.38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汉中市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商洛市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823.92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200.51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铜川市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607.15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6.5:33.8:59.7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70.36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安康市2025年GDP总量—亿元、列全省第十位，一般公共预算收入39.34亿元、列全省第八位。整体来看，安康市经济基本面在陕西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安康市财政体量在陕西省处于中游，税收占比53.72%、税收占比处于一般水平，但政府性基金收入总体平稳；2025年末宽口径债务率1261.64%、处于偏高水平，已显著高于公认的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安康市一般公共预算收入分别为35.22亿元、37.90亿元、39.34亿元，其中税收收入22.65亿元、22.60亿元、21.13亿元，税收占比维持在64.31%、59.63%、53.72%；一般公共预算支出388.46亿元、410.23亿元、400.04亿元，财政自给率9.07%、9.24%、9.83%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政府性基金收入方面，2023、2024、2025年分别为34.32亿元、37.72亿元、36.98亿元，政府性基金收入总体平稳，反映地方综合财力对房地产周期的敞口。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图表：2023-2025年安康市财政收入情况(单位:亿元、%)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12.27%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-6.50%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64.31%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388.46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410.23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400.04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-2.48%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-1.96%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资料来源:安康市财政决算、企业预警通,风控信评部整理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土地市场方面，【待补充:安康市土地出让与房地产销售数据（土地市场数据库未覆盖该市）】。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安康市地方政府债务余额分别为530.12亿元、641.20亿元、775.40亿元，2025年末债务限额794.80亿元，债务余额控制在限额以内；城投有息债务2025年末估算余额221.35亿元。债务率指标看，2025年末政府债务率981.46%、城投债务率280.18%、宽口径债务率1261.64%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安康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