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宝鸡市信用评级报告(区域部分)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宝鸡作为陕西省下辖地级市，经济总量列陕西省第四位，人均经济实力居省内中游，经济增速由1.50%回升至6.00%、动能边际改善；固定资产投资最新增速8.60%，经济运行总体平稳。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宝鸡市2023、2024、2025年地区生产总值分别为2,405.32亿元、2,525.48亿元、2,648.87亿元，同比增长1.50%、5.40%、6.00%。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产业结构方面，宝鸡作为陕西省下辖地级市，区域产业结构以本地优势产业为主。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2023、2024、2025年固定资产投资增速分别为0.20%、11.60%、8.60%，进出口总额8.40亿美元。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图表：2025年陕西省各地级市主要经济指标对比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13,902.67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2.39:28.56:69.05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979.35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1323.63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榆林市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7,501.06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14.4:35.9:49.7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403.77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宝鸡市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2,648.87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延安市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2,372.17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10.9:53.4:35.7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221.82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渭南市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20.2:25.7:54.1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453.38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汉中市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823.92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200.51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607.15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6.5:33.8:59.7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宝鸡市2025年GDP总量2,648.87亿元、列全省第四位，一般公共预算收入112.07亿元、列全省第五位。整体来看，宝鸡市经济基本面在陕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宝鸡市财政体量在陕西省处于中游，税收占比62.84%、税收质量较好，但政府性基金收入较2023年累计下降30%、土地财政贡献度弱化；2025年末宽口径债务率932.98%、处于偏高水平，已显著高于公认的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宝鸡市一般公共预算收入分别为102.50亿元、108.71亿元、112.07亿元，其中税收收入67.60亿元、71.42亿元、70.42亿元，税收占比维持在65.95%、65.69%、62.84%；一般公共预算支出418.77亿元、448.55亿元、451.16亿元，财政自给率24.48%、24.24%、24.84%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政府性基金收入方面，2023、2024年分别为53.56亿元、37.75亿元，政府性基金收入较2023年累计下降30%、土地财政贡献度弱化，反映地方综合财力对房地产周期的敞口。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图表：2023-2025年宝鸡市财政收入情况(单位:亿元、%)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-1.40%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418.77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448.55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451.16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-29.52%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资料来源:宝鸡市财政决算、企业预警通,风控信评部整理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土地市场方面，【待补充:宝鸡市土地出让与房地产销售数据（土地市场数据库未覆盖该市）】。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宝鸡市地方政府债务余额分别为433.65亿元、573.08亿元、744.40亿元，2025年末债务限额771.90亿元，债务余额控制在限额以内；城投有息债务2025年末估算余额301.19亿元。债务率指标看，2025年末政府债务率664.23%、城投债务率268.75%、宽口径债务率932.98%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宝鸡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