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延安市信用评级报告(区域部分)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延安作为陕西省下辖地级市，经济总量列陕西省第五位，人均GDP约10.62万元、人均经济实力居全省前列，经济增速由1.60%回升至4.30%、动能边际改善；固定资产投资最新增速转负（-6.10%），经济动能仍有待修复。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延安市2023、2024、2025年地区生产总值分别为2,289.51亿元、2,369.93亿元、2,372.17亿元，同比增长1.60%、5.30%、4.30%。截至2025年末，全市常住人口221.82万人，人均GDP约10.62万元。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产业结构方面，2025年延安市三次产业结构为10.9:53.4:35.7，第二产业占比较高、工业是经济支柱。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2023、2024、2025年固定资产投资增速分别为1.70%、6.50%、-6.10%，2025年社会消费品零售总额426.23亿元，进出口总额4.46亿美元。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图表：2025年陕西省各地级市主要经济指标对比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西安市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13,902.67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2.39:28.56:69.05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979.35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1323.63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榆林市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7,501.06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562.52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362.00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咸阳市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3,104.53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14.4:35.9:49.7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403.77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宝鸡市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2,648.87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112.07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延安市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2,372.17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10.9:53.4:35.7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173.97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221.82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渭南市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2,231.76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20.2:25.7:54.1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82.85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453.38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汉中市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商洛市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823.92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200.51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铜川市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607.15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6.5:33.8:59.7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70.36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安康市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延安市2025年GDP总量2,372.17亿元、列全省第五位，一般公共预算收入173.97亿元、列全省第三位。整体来看，延安市经济基本面在陕西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延安市财政体量在陕西省位居前列，税收占比66.23%、税收质量较好，但政府性基金收入较2023年累计增长14%；2025年末宽口径债务率551.73%、处于偏高水平，已显著高于公认的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延安市一般公共预算收入分别为165.13亿元、173.64亿元、173.97亿元，其中税收收入128.82亿元、126.54亿元、115.23亿元，税收占比维持在78.01%、72.87%、66.23%；一般公共预算支出507.97亿元、560.58亿元、515.88亿元，财政自给率32.51%、30.98%、33.72%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政府性基金收入方面，2023、2024、2025年分别为34.22亿元、47.84亿元、38.95亿元，政府性基金收入较2023年累计增长14%，反映地方综合财力对房地产周期的敞口。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图表：2023-2025年延安市财政收入情况(单位:亿元、%)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165.13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173.64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173.97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128.82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126.54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-1.77%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115.23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-8.94%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78.01%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72.87%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66.23%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507.97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560.58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10.36%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515.88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-7.97%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32.51%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30.98%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33.72%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-18.58%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资料来源:延安市财政决算、企业预警通,风控信评部整理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土地市场方面，【待补充:延安市土地出让与房地产销售数据（土地市场数据库未覆盖该市）】。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延安市地方政府债务余额分别为658.00亿元、755.17亿元、830.15亿元，2025年末债务限额866.00亿元，债务余额控制在限额以内；城投有息债务2025年末估算余额497.36亿元。债务率指标看，2025年末政府债务率345.02%、城投债务率206.71%、宽口径债务率551.73%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延安市财政基本盘较为扎实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