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榆林市信用评级报告(区域部分)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榆林作为陕西省下辖地级市，经济总量列陕西省第二位，人均GDP约20.72万元、人均经济实力居全省前列，经济增速由5.70%回落至5.30%、有所放缓；固定资产投资最新增速5.60%，经济运行总体平稳。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榆林市2023、2024、2025年地区生产总值分别为7,219.11亿元、7,451.83亿元、7,501.06亿元，同比增长5.70%、6.02%、5.30%。截至2025年末，全市常住人口362.00万人，人均GDP约20.72万元（按当年GDP与常住人口估算）。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产业结构方面，榆林作为陕西省下辖地级市，以煤炭、油气、煤化工、电力为支柱，是国家重要的能源化工基地。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2023、2024、2025年固定资产投资增速分别为2.60%、8.10%、5.60%，2025年社会消费品零售总额1,053.95亿元，进出口总额12.89亿美元。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榆林市2025年GDP总量7,501.06亿元、列全省第二位，一般公共预算收入562.52亿元、列全省第二位。整体来看，榆林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榆林市财政体量在陕西省位居前列，税收占比74.31%、税收质量较好，但政府性基金收入较2023年累计下降16%、土地财政贡献度弱化；2025年末宽口径债务率188.15%、处于可控水平，整体处于可控水平。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榆林市一般公共预算收入分别为661.88亿元、618.90亿元、562.52亿元，其中税收收入543.00亿元、509.86亿元、418.01亿元，税收占比维持在82.04%、82.38%、74.31%；一般公共预算支出1,096.33亿元、1,224.69亿元、1,150.71亿元，财政自给率60.37%、50.53%、48.88%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政府性基金收入方面，2023、2024、2025年分别为83.19亿元、78.36亿元、70.09亿元，政府性基金收入较2023年累计下降16%、土地财政贡献度弱化，反映地方综合财力对房地产周期的敞口。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图表：2023-2025年榆林市财政收入情况(单位:亿元、%)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661.88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1,096.33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1,224.69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-10.55%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资料来源:榆林市财政决算、企业预警通,风控信评部整理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土地市场方面，【待补充:榆林市土地出让与房地产销售数据（土地市场数据库未覆盖该市）】。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榆林市地方政府债务余额分别为626.35亿元、744.24亿元、859.10亿元，2025年末债务限额891.40亿元，债务余额控制在限额以内；城投有息债务2025年末估算余额505.53亿元。债务率指标看，2025年末政府债务率118.45%、城投债务率69.70%、宽口径债务率188.15%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榆林市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