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汉中市信用评级报告(区域部分)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汉中作为陕西省下辖地级市，经济总量列陕西省第七位，人均经济实力居省内中游，经济增速由2.80%回升至6.40%、动能边际改善；固定资产投资最新增速9.20%，经济运行总体平稳。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汉中市2023、2024、2025年地区生产总值分别为1,815.67亿元、1,909.90亿元、2,000.00亿元，同比增长2.80%、6.24%、6.40%。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产业结构方面，汉中作为陕西省下辖地级市，区域产业结构以本地优势产业为主。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2023、2024、2025年固定资产投资增速分别为1.80%、11.70%、9.20%，进出口总额1.93亿美元。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汉中市2025年GDP总量2,000.00亿元、列全省第七位，一般公共预算收入57.88亿元、列全省第七位。整体来看，汉中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汉中市财政体量在陕西省处于中游，税收占比60.71%、税收质量较好，但政府性基金收入较2023年累计下降57%、土地财政贡献度弱化；2025年末宽口径债务率1018.61%、处于偏高水平，已显著高于公认的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汉中市一般公共预算收入分别为52.60亿元、57.55亿元、57.88亿元，其中税收收入36.28亿元、35.87亿元、35.14亿元，税收占比维持在68.98%、62.32%、60.71%；一般公共预算支出422.89亿元、440.27亿元、440.59亿元，财政自给率12.44%、13.07%、13.14%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政府性基金收入方面，2023、2024、2025年分别为49.03亿元、46.28亿元、20.99亿元，政府性基金收入较2023年累计下降57%、土地财政贡献度弱化，反映地方综合财力对房地产周期的敞口。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图表：2023-2025年汉中市财政收入情况(单位:亿元、%)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422.89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440.59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-54.65%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资料来源:汉中市财政决算、企业预警通,风控信评部整理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土地市场方面，【待补充:汉中市土地出让与房地产销售数据（土地市场数据库未覆盖该市）】。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汉中市地方政府债务余额分别为508.95亿元、666.12亿元、752.30亿元，2025年末债务限额786.80亿元，债务余额控制在限额以内；城投有息债务2025年末估算余额52.71亿元。债务率指标看，2025年末政府债务率951.92%、城投债务率66.69%、宽口径债务率1018.61%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汉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