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渭南市信用评级报告(区域部分)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渭南作为陕西省下辖地级市，经济总量列陕西省第六位，人均GDP约4.90万元、人均经济实力在省内相对靠后，经济增速由2.60%回升至5.60%、动能边际改善；固定资产投资最新增速6.10%，经济运行总体平稳。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渭南市2023、2024、2025年地区生产总值分别为2,088.54亿元、2,154.56亿元、2,231.76亿元，同比增长2.60%、5.60%、5.60%。截至2025年末，全市常住人口453.38万人，人均GDP约4.90万元。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产业结构方面，2025年渭南市三次产业结构为20.2:25.7:54.1，第三产业占主导、服务业是经济主体，农业基础较好。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2023、2024、2025年固定资产投资增速分别为0.30%、11.50%、6.10%，进出口总额3.50亿美元。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渭南市2025年GDP总量2,231.76亿元、列全省第六位，一般公共预算收入82.85亿元、列全省第六位。整体来看，渭南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渭南市财政体量在陕西省处于中游，税收占比61.80%、税收质量较好，但政府性基金收入总体平稳；2025年末宽口径债务率1144.69%、处于偏高水平，已显著高于公认的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渭南市一般公共预算收入分别为106.90亿元、87.77亿元、82.85亿元，其中税收收入58.94亿元、57.84亿元、51.20亿元，税收占比维持在55.14%、65.90%、61.80%；一般公共预算支出564.41亿元、576.49亿元、551.25亿元，财政自给率18.94%、15.22%、15.03%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政府性基金收入方面，2023、2024、2025年分别为39.86亿元、67.39亿元、38.04亿元，政府性基金收入总体平稳，反映地方综合财力对房地产周期的敞口。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图表：2023-2025年渭南市财政收入情况(单位:亿元、%)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-43.55%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资料来源:渭南市财政决算、企业预警通,风控信评部整理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土地市场方面，【待补充:渭南市土地出让与房地产销售数据（土地市场数据库未覆盖该市）】。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渭南市地方政府债务余额分别为651.62亿元、806.66亿元、948.70亿元，2025年末债务限额972.70亿元，债务余额控制在限额以内；城投有息债务2025年末估算余额481.49亿元。债务率指标看，2025年末政府债务率759.31%、城投债务率385.37%、宽口径债务率1144.69%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渭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