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西安市信用评级报告(区域部分)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西安作为陕西省省会，经济总量在陕西省稳居第一，人均GDP约10.53万元、人均经济实力居全省中游，经济增速由5.80%回落至4.70%、有所放缓；固定资产投资最新增速转负（-15.30%），经济动能仍有待修复。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西安市2023、2024、2025年地区生产总值分别为12,756.21亿元、13,369.14亿元、13,902.67亿元，同比增长5.80%、4.50%、4.70%。截至2025年末，全市常住人口1323.63万人，人均GDP约10.53万元。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产业结构方面，2025年西安市三次产业结构为2.39:28.56:69.05，以航空航天、电子信息、装备制造、汽车为支柱，科教与国防资源雄厚，聚集比亚迪西安、三星西安、隆基绿能等企业。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2023、2024、2025年固定资产投资增速分别为0.10%、0.20%、-15.30%，2025年社会消费品零售总额5,721.21亿元，进出口总额698.30亿美元。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图表：2025年陕西省各地级市主要经济指标对比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13,902.67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2.39:28.56:69.05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979.35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1323.63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榆林市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7,501.06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14.4:35.9:49.7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403.77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宝鸡市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2,648.87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2,372.17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10.9:53.4:35.7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渭南市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20.2:25.7:54.1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453.38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汉中市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823.92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200.51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607.15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6.5:33.8:59.7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西安市2025年GDP总量13,902.67亿元、列全省第一位，一般公共预算收入979.35亿元、列全省第一位。整体来看，西安市经济基本面在陕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西安市财政体量在陕西省稳居第一，税收占比71.66%、税收质量较好，但政府性基金收入较2023年累计下降48%、土地财政贡献度弱化；2025年末宽口径债务率1081.07%、处于偏高水平，已显著高于公认的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西安市一般公共预算收入分别为951.92亿元、1,002.36亿元、979.35亿元，其中税收收入687.97亿元、714.95亿元、701.77亿元，税收占比维持在72.27%、71.33%、71.66%；一般公共预算支出1,730.47亿元、1,561.85亿元、1,512.54亿元，财政自给率55.01%、64.18%、64.75%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政府性基金收入方面，2023、2024、2025年分别为1,321.44亿元、1,214.91亿元、681.83亿元，政府性基金收入较2023年累计下降48%、土地财政贡献度弱化，反映地方综合财力对房地产周期的敞口。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图表：2023-2025年西安市财政收入情况(单位:亿元、%)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951.92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1,002.36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979.35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-2.30%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687.97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701.77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-1.84%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1,730.47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1,561.85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1,512.54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-3.16%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1,321.44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1,214.91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681.83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-43.88%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资料来源:西安市财政决算、企业预警通,风控信评部整理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西安市经营性用地成交价分别为1,120.13亿元、1,220.17亿元、1,079.01亿元、937.31亿元、581.68亿元，2025年较2021年下降48.07%；同期平均溢价率为16.66%、0.63%、1.98%、1.08%、0.81%；成交楼面均价为3,439元/㎡。2026年1-4月，西安市经营性用地累计成交43宗、规划建面471.71万㎡、成交价82.34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图表:2021-2025年西安市土地出让情况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3,774.89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2,967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16.66%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1,120.13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4,134.16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2,947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1,220.17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3,861.02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2,794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1,079.01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2,782.29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3,369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937.31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1,690.44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3,439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0.81%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581.68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471.71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82.34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西安市商品住宅成交面积由963.59万㎡变动至661.47万㎡、累计下降31.4%；新房均价2025年为17,569元/㎡、较2024年高点(19,006元/㎡)累计下跌7.56%；2025年去化周期24.33个月。据中指冰山指数(最低挂牌价口径)，西安二手房挂牌价较2018年6月高点累计下跌46.35%，2023年累计跌幅-6.23%、2024年累计跌幅-9.93%、2025年累计跌幅-15.53%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西安市地方政府债务余额分别为4,029.69亿元、4,643.76亿元、5,363.20亿元，2025年末债务限额5,525.00亿元，债务余额控制在限额以内；城投有息债务2025年末估算余额12,726.65亿元。债务率指标看，2025年末政府债务率320.51%、城投债务率760.56%、宽口径债务率1081.07%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西安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