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铜川市信用评级报告(区域部分)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铜川作为陕西省下辖地级市，经济总量列陕西省第九位，人均GDP约8.60万元、人均经济实力居全省中游，经济增速维持在6.10%左右、总体平稳；固定资产投资最新增速9.20%，经济运行总体平稳。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铜川市2023、2024、2025年地区生产总值分别为555.68亿元、582.08亿元、607.15亿元，同比增长6.10%、6.30%、6.10%。截至2025年末，全市常住人口70.36万人，人均GDP约8.60万元。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产业结构方面，2025年铜川市三次产业结构为6.5:33.8:59.7，第三产业占主导、服务业是经济主体。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2023、2024、2025年固定资产投资增速分别为2.00%、11.60%、9.20%，进出口总额0.87亿美元。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铜川市2025年GDP总量607.15亿元、列全省第九位，一般公共预算收入25.30亿元、列全省第十位。整体来看，铜川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铜川市财政体量在陕西省处于中游，税收占比61.50%、税收质量较好，但政府性基金收入较2023年累计下降50%、土地财政贡献度弱化；2025年末宽口径债务率1255.09%、处于偏高水平，已显著高于公认的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铜川市一般公共预算收入分别为25.14亿元、24.31亿元、25.30亿元，其中税收收入16.52亿元、15.92亿元、15.56亿元，税收占比维持在65.70%、65.51%、61.50%；一般公共预算支出143.45亿元、152.44亿元、141.66亿元，财政自给率17.52%、15.95%、17.86%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政府性基金收入方面，2023、2024、2025年分别为9.05亿元、4.70亿元、4.56亿元，政府性基金收入较2023年累计下降50%、土地财政贡献度弱化，反映地方综合财力对房地产周期的敞口。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图表：2023-2025年铜川市财政收入情况(单位:亿元、%)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-2.26%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-48.07%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-2.98%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资料来源:铜川市财政决算、企业预警通,风控信评部整理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土地市场方面，【待补充:铜川市土地出让与房地产销售数据（土地市场数据库未覆盖该市）】。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铜川市地方政府债务余额分别为221.40亿元、273.12亿元、337.40亿元，2025年末债务限额345.10亿元，债务余额控制在限额以内；城投有息债务2025年末估算余额38.21亿元。债务率指标看，2025年末政府债务率1127.41%、城投债务率127.68%、宽口径债务率1255.09%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铜川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