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海东市信用评级报告(区域部分)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海东作为青海省下辖地级市，经济总量列青海省第三位，人均GDP约4.66万元、人均经济实力居全省中游，经济增速由2.50%回落至1.50%、有所放缓；固定资产投资连续负增长（最新-21.90%），经济动能仍有待修复。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海东市2023、2024、2025年地区生产总值分别为580.13亿元、605.46亿元、615.80亿元，同比增长2.50%、4.10%、1.50%。截至2025年末，全市常住人口131.58万人，人均GDP约4.66万元。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产业结构方面，2025年海东市三次产业结构为15.9:31.9:52.2，第三产业占主导、服务业是经济主体，农业基础较好。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2023、2024、2025年固定资产投资增速分别为-20.80%、24.50%、-21.90%，2025年社会消费品零售总额148.70亿元，进出口总额0.67亿美元。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海东市2025年GDP总量615.80亿元、列全省第三位，一般公共预算收入24.91亿元、列全省第三位。整体来看，海东市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海东市财政体量在青海省位居前列，税收占比62.77%、税收质量较好，但政府性基金收入较2023年累计下降74%、土地财政贡献度弱化；2025年末宽口径债务率1981.13%、处于偏高水平，已显著高于公认的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海东市一般公共预算收入分别为35.46亿元、31.36亿元、24.91亿元，其中税收收入19.34亿元、19.46亿元、15.63亿元，税收占比维持在54.53%、62.07%、62.77%；一般公共预算支出256.99亿元、292.63亿元、275.82亿元，财政自给率13.80%、10.72%、9.03%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政府性基金收入方面，2023、2024、2025年分别为13.94亿元、5.80亿元、3.58亿元，政府性基金收入较2023年累计下降74%、土地财政贡献度弱化，反映地方综合财力对房地产周期的敞口。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图表：2023-2025年海东市财政收入情况(单位:亿元、%)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-58.39%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资料来源:海东市财政决算、企业预警通,风控信评部整理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土地市场方面，【待补充:海东市土地出让与房地产销售数据（土地市场数据库未覆盖该市）】。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海东市地方政府债务余额分别为340.39亿元、388.31亿元、448.84亿元，2025年末债务限额464.04亿元，债务余额控制在限额以内；城投有息债务2025年末估算余额115.62亿元。债务率指标看，2025年末政府债务率1575.32%、城投债务率405.81%、宽口径债务率1981.13%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海东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