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海西蒙古族藏族自治州信用评级报告(区域部分)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西蒙古族藏族自治州作为青海省下辖的民族自治地区，经济总量列青海省第二位，人均GDP约19.30万元、人均经济实力居全省前列，经济增速由0.00%回升至7.50%、动能边际改善；固定资产投资最新增速7.80%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海西蒙古族藏族自治州2023、2024、2025年地区生产总值分别为828.19亿元、847.88亿元、917.29亿元，同比增长0.00%、1.10%、7.50%。截至2025年末，全市常住人口47.72万人，人均GDP约19.30万元。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产业结构方面，2025年海西蒙古族藏族自治州三次产业结构为6.1:67.7:26.2，第二产业占比较高、工业是经济支柱。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2023、2024、2025年固定资产投资增速分别为17.40%、16.30%、7.80%，2025年社会消费品零售总额100.00亿元，进出口总额0.60亿美元。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图表：2025年青海省各地级市主要经济指标对比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3.3:38:58.7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海西蒙古族藏族自治州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6.1:67.7:26.2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22.8:41.1:36.1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25.3:22.3:52.4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25.3:17.9:56.8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玉树藏族自治州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果洛藏族自治州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13.5:18.8:67.7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海西蒙古族藏族自治州2025年GDP总量917.29亿元、列全省第二位，一般公共预算收入81.52亿元、列全省第二位。整体来看，海西蒙古族藏族自治州经济基本面在青海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海西蒙古族藏族自治州财政体量在青海省位居前列，税收占比78.48%、税收质量较好，但政府性基金收入较2023年累计增长62%；2025年末宽口径债务率443.27%、处于偏高水平，已显著高于公认的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海西蒙古族藏族自治州一般公共预算收入分别为129.72亿元、122.98亿元、81.52亿元，其中税收收入111.44亿元、99.59亿元、63.98亿元，税收占比维持在85.90%、80.98%、78.48%；一般公共预算支出223.50亿元、231.45亿元、198.28亿元，财政自给率58.04%、53.14%、41.11%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政府性基金收入方面，2023、2024、2025年分别为3.00亿元、5.75亿元、4.87亿元，政府性基金收入较2023年累计增长62%，反映地方综合财力对房地产周期的敞口。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图表：2023-2025年海西蒙古族藏族自治州财政收入情况(单位:亿元、%)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-33.71%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-35.76%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-15.30%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资料来源:海西蒙古族藏族自治州财政决算、企业预警通,风控信评部整理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土地市场方面，【待补充:海西蒙古族藏族自治州土地出让与房地产销售数据（土地市场数据库未覆盖该市）】。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海西蒙古族藏族自治州地方政府债务余额分别为259.65亿元、283.31亿元、282.57亿元，2025年末债务限额296.21亿元，债务余额控制在限额以内；城投有息债务2025年末估算余额101.63亿元。债务率指标看，2025年末政府债务率326.01%、城投债务率117.26%、宽口径债务率443.27%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海西蒙古族藏族自治州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