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玉树藏族自治州信用评级报告(区域部分)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玉树藏族自治州作为青海省下辖的民族自治地区，经济总量列青海省第七位，人均GDP约2.22万元、人均经济实力在省内相对靠后，经济增速由6.90%回落至4.00%、有所放缓；固定资产投资连续负增长（最新-6.70%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玉树藏族自治州2023、2024、2025年地区生产总值分别为79.13亿元、92.42亿元、97.43亿元，同比增长6.90%、4.40%、4.00%。截至2025年末，全市常住人口43.82万人，人均GDP约2.22万元（按当年GDP与常住人口估算）。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产业结构方面，玉树藏族自治州作为青海省下辖的民族自治地区，区域产业结构以本地优势产业为主。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2023、2024、2025年固定资产投资增速分别为-6.20%、8.50%、-6.70%，2025年社会消费品零售总额28.10亿元，进出口总额0.02亿美元。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图表：2025年青海省各地级市主要经济指标对比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1,914.80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3.3:38:58.7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海西蒙古族藏族自治州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6.1:67.7:26.2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22.8:41.1:36.1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25.3:22.3:52.4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25.3:17.9:56.8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玉树藏族自治州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果洛藏族自治州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13.5:18.8:67.7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22.49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玉树藏族自治州2025年GDP总量97.43亿元、列全省第七位，一般公共预算收入3.51亿元、列全省第八位。整体来看，玉树藏族自治州经济基本面在青海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玉树藏族自治州财政体量在青海省处于中游，税收占比52.21%、税收占比处于一般水平，但政府性基金收入较2023年累计下降32%、土地财政贡献度弱化；2025年末宽口径债务率1264.91%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玉树藏族自治州一般公共预算收入分别为3.30亿元、3.74亿元、3.51亿元，其中税收收入2.06亿元、2.23亿元、1.83亿元，税收占比维持在62.40%、59.71%、52.21%；一般公共预算支出155.60亿元、163.76亿元、160.90亿元，财政自给率2.12%、2.28%、2.18%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政府性基金收入方面，2023、2024、2025年分别为0.25亿元、0.25亿元、0.17亿元，政府性基金收入较2023年累计下降32%、土地财政贡献度弱化，反映地方综合财力对房地产周期的敞口。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图表：2023-2025年玉树藏族自治州财政收入情况(单位:亿元、%)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-6.15%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-17.94%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163.76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-1.75%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-32.00%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资料来源:玉树藏族自治州财政决算、企业预警通,风控信评部整理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土地市场方面，【待补充:玉树藏族自治州土地出让与房地产销售数据（土地市场数据库未覆盖该市）】。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玉树藏族自治州地方政府债务余额分别为30.57亿元、39.64亿元、46.56亿元，2025年末债务限额47.87亿元，债务余额控制在限额以内；城投有息债务2025年末估算余额—亿元。债务率指标看，2025年末政府债务率1264.91%、城投债务率—、宽口径债务率1264.91%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玉树藏族自治州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