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西宁市信用评级报告(区域部分)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西宁作为青海省省会，经济总量在青海省稳居第一，人均GDP约7.73万元、人均经济实力居全省前列，经济增速由8.60%回落至3.30%、有所放缓；固定资产投资连续负增长（最新-19.10%），经济动能仍有待修复。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西宁市2023、2024、2025年地区生产总值分别为1,819.80亿元、1,862.09亿元、1,914.80亿元，同比增长8.60%、3.10%、3.30%。截至2025年末，全市常住人口247.56万人，人均GDP约7.73万元（按当年GDP与常住人口估算）。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产业结构方面，2025年西宁市三次产业结构为3.3:38:58.7，以盐湖化工、有色冶金、新能源（光伏多晶硅）、特色生物为支柱。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2023、2024、2025年固定资产投资增速分别为-6.60%、-5.90%、-19.10%，2025年社会消费品零售总额663.40亿元，进出口总额7.90亿美元。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图表：2025年青海省各地级市主要经济指标对比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1,914.80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3.3:38:58.7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247.56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海西蒙古族藏族自治州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6.1:67.7:26.2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22.8:41.1:36.1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25.3:22.3:52.4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25.3:17.9:56.8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玉树藏族自治州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43.82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果洛藏族自治州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13.5:18.8:67.7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22.49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西宁市2025年GDP总量1,914.80亿元、列全省第一位，一般公共预算收入103.70亿元、列全省第一位。整体来看，西宁市经济基本面在青海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西宁市财政体量在青海省稳居第一，税收占比83.32%、税收质量较好，但政府性基金收入较2023年累计下降44%、土地财政贡献度弱化；2025年末宽口径债务率831.39%、处于偏高水平，已显著高于公认的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西宁市一般公共预算收入分别为144.09亿元、134.46亿元、103.70亿元，其中税收收入128.31亿元、116.36亿元、86.40亿元，税收占比维持在89.05%、86.54%、83.32%；一般公共预算支出418.75亿元、400.98亿元、375.40亿元，财政自给率34.41%、33.53%、27.62%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政府性基金收入方面，2023、2024、2025年分别为32.08亿元、22.87亿元、17.90亿元，政府性基金收入较2023年累计下降44%、土地财政贡献度弱化，反映地方综合财力对房地产周期的敞口。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图表：2023-2025年西宁市财政收入情况(单位:亿元、%)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134.46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-22.88%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-25.75%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400.98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-6.38%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-28.71%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-21.73%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资料来源:西宁市财政决算、企业预警通,风控信评部整理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土地市场方面，【待补充:西宁市土地出让与房地产销售数据（土地市场数据库未覆盖该市）】。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西宁市地方政府债务余额分别为590.60亿元、661.64亿元、737.25亿元，2025年末债务限额771.61亿元，债务余额控制在限额以内；城投有息债务2025年末估算余额278.12亿元。债务率指标看，2025年末政府债务率603.66%、城投债务率227.73%、宽口径债务率831.39%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西宁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