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黄南藏族自治州信用评级报告(区域部分)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黄南藏族自治州作为青海省下辖的民族自治地区，经济总量列青海省第五位，人均GDP约4.41万元、人均经济实力在省内相对靠后，经济增速由2.20%回落至0.70%、有所放缓；固定资产投资最新增速转负（-45.90%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黄南藏族自治州2023、2024、2025年地区生产总值分别为117.20亿元、123.04亿元、124.17亿元，同比增长2.20%、4.50%、0.70%。截至2025年末，全市常住人口28.12万人，人均GDP约4.41万元。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产业结构方面，2025年黄南藏族自治州三次产业结构为25.3:22.3:52.4，第三产业占主导、服务业是经济主体，农业基础较好。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2023、2024、2025年固定资产投资增速分别为6.80%、3.70%、-45.90%，2025年社会消费品零售总额19.29亿元，进出口总额0.00亿美元。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图表：2025年青海省各地级市主要经济指标对比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1,914.80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3.3:38:58.7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海西蒙古族藏族自治州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6.1:67.7:26.2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22.8:41.1:36.1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25.3:22.3:52.4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25.3:17.9:56.8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玉树藏族自治州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果洛藏族自治州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13.5:18.8:67.7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22.49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黄南藏族自治州2025年GDP总量124.17亿元、列全省第五位，一般公共预算收入5.18亿元、列全省第六位。整体来看，黄南藏族自治州经济基本面在青海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黄南藏族自治州财政体量在青海省处于中游，税收占比54.63%、税收占比处于一般水平，但政府性基金收入较2023年累计下降38%、土地财政贡献度弱化；2025年末宽口径债务率1256.18%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黄南藏族自治州一般公共预算收入分别为5.58亿元、6.13亿元、5.18亿元，其中税收收入3.64亿元、3.97亿元、2.83亿元，税收占比维持在65.19%、64.72%、54.63%；一般公共预算支出114.36亿元、96.24亿元、97.85亿元，财政自给率4.88%、6.37%、5.29%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政府性基金收入方面，2023、2024年分别为0.40亿元、0.25亿元，政府性基金收入较2023年累计下降38%、土地财政贡献度弱化，反映地方综合财力对房地产周期的敞口。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图表：2023-2025年黄南藏族自治州财政收入情况(单位:亿元、%)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-28.72%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-37.50%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资料来源:黄南藏族自治州财政决算、企业预警通,风控信评部整理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土地市场方面，【待补充:黄南藏族自治州土地出让与房地产销售数据（土地市场数据库未覆盖该市）】。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黄南藏族自治州地方政府债务余额分别为53.32亿元、60.18亿元、65.07亿元，2025年末债务限额67.58亿元，债务余额控制在限额以内；城投有息债务2025年末估算余额—亿元。债务率指标看，2025年末政府债务率1256.18%、城投债务率—、宽口径债务率1256.18%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黄南藏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