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七台河市信用评级报告(区域部分)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七台河作为黑龙江省下辖地级市，经济总量列黑龙江省第12位，人均经济实力居省内中游，经济增速由3.42%回升至5.50%、动能边际改善；固定资产投资连续负增长（最新-2.20%），经济动能仍有待修复。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七台河市2023、2024、2025年地区生产总值分别为266.58亿元、236.58亿元、249.40亿元，同比增长3.42%、-7.17%、5.50%。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产业结构方面，七台河作为黑龙江省下辖地级市，区域产业结构以本地优势产业为主。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2023、2024、2025年固定资产投资增速分别为-26.30%、-7.30%、-2.20%，2025年社会消费品零售总额77.40亿元，进出口总额0.78亿美元。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图表：2025年黑龙江省各地级市主要经济指标对比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哈尔滨市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6,188.50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2,693.20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齐齐哈尔市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绥化市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1,285.10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40.8:14.6:44.6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牡丹江市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1,094.77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19.5:17.4:63.1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佳木斯市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40.4:9:50.6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黑河市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31.3:14.1:54.6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鸡西市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648.50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32.7:18.7:48.6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双鸭山市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34.8:20.3:44.9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伊春市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34.8:17:48.2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七台河市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大兴安岭地区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七台河市2025年GDP总量249.40亿元、列全省第12位，一般公共预算收入34.68亿元、列全省第十位。整体来看，七台河市经济基本面在黑龙江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七台河市财政体量在黑龙江省处于中游，税收占比—、税收占比处于一般水平，但政府性基金收入较2023年累计下降32%、土地财政贡献度弱化；2025年末宽口径债务率996.05%、处于偏高水平，已显著高于公认的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七台河市一般公共预算收入分别为34.32亿元、28.97亿元、34.68亿元，其中税收收入14.99亿元、11.82亿元、—亿元，税收占比维持在43.69%、40.80%、—；一般公共预算支出103.57亿元、112.72亿元、115.31亿元，财政自给率33.13%、25.70%、30.08%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政府性基金收入方面，2023、2024、2025年分别为3.22亿元、2.27亿元、2.20亿元，政府性基金收入较2023年累计下降32%、土地财政贡献度弱化，反映地方综合财力对房地产周期的敞口。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图表：2023-2025年七台河市财政收入情况(单位:亿元、%)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-15.59%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19.71%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-21.15%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43.69%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103.57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112.72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-29.50%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-3.08%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资料来源:七台河市财政决算、企业预警通,风控信评部整理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土地市场方面，【待补充:七台河市土地出让与房地产销售数据（土地市场数据库未覆盖该市）】。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七台河市地方政府债务余额分别为233.76亿元、271.33亿元、313.17亿元，2025年末债务限额315.07亿元，债务余额控制在限额以内；城投有息债务2025年末估算余额57.36亿元。债务率指标看，2025年末政府债务率841.85%、城投债务率154.20%、宽口径债务率996.05%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七台河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