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伊春市信用评级报告(区域部分)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伊春作为黑龙江省下辖地级市，经济总量列黑龙江省第11位，人均GDP约4.73万元、人均经济实力居全省中游，经济增速由3.67%回升至4.00%、动能边际改善；固定资产投资连续负增长（最新-5.80%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伊春市2023、2024、2025年地区生产总值分别为369.59亿元、369.80亿元、380.90亿元，同比增长3.67%、2.10%、4.00%。截至2025年末，全市常住人口80.20万人，人均GDP约4.73万元。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产业结构方面，2025年伊春市三次产业结构为34.8:17:48.2，第三产业占主导、服务业是经济主体，农业基础较好。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2023、2024、2025年固定资产投资增速分别为-25.80%、17.00%、-5.80%，2025年社会消费品零售总额113.10亿元。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伊春市2025年GDP总量380.90亿元、列全省第11位，一般公共预算收入29.20亿元、列全省第11位。整体来看，伊春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伊春市财政体量在黑龙江省处于中游，税收占比54.11%、税收占比处于一般水平，但政府性基金收入较2023年累计增长342%；2025年末宽口径债务率908.63%、处于偏高水平，已显著高于公认的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伊春市一般公共预算收入分别为28.35亿元、34.07亿元、29.20亿元，其中税收收入15.71亿元、14.87亿元、15.80亿元，税收占比维持在55.40%、43.64%、54.11%；一般公共预算支出225.65亿元、257.57亿元、254.80亿元，财政自给率12.56%、13.23%、11.46%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政府性基金收入方面，2023、2024、2025年分别为1.65亿元、2.62亿元、7.30亿元，政府性基金收入较2023年累计增长342%，反映地方综合财力对房地产周期的敞口。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图表：2023-2025年伊春市财政收入情况(单位:亿元、%)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资料来源:伊春市财政决算、企业预警通,风控信评部整理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土地市场方面，【待补充:伊春市土地出让与房地产销售数据（土地市场数据库未覆盖该市）】。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伊春市地方政府债务余额分别为226.10亿元、234.10亿元、275.25亿元，2025年末债务限额278.26亿元，债务余额控制在限额以内；城投有息债务2025年末估算余额56.46亿元。债务率指标看，2025年末政府债务率753.97%、城投债务率154.66%、宽口径债务率908.63%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伊春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