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佳木斯市信用评级报告(区域部分)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佳木斯作为黑龙江省下辖地级市，经济总量列黑龙江省第六位，人均经济实力居省内中游，经济增速由3.34%回升至4.70%、动能边际改善；固定资产投资连续负增长（最新-11.50%），经济动能仍有待修复。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佳木斯市2023、2024、2025年地区生产总值分别为985.69亿元、1,007.73亿元、1,052.30亿元，同比增长3.34%、4.82%、4.70%。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产业结构方面，2025年佳木斯市三次产业结构为40.4:9:50.6，第三产业占主导、服务业是经济主体，农业基础较好。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2023、2024、2025年固定资产投资增速分别为-31.90%、2.20%、-11.50%，进出口总额15.36亿美元。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佳木斯市2025年GDP总量1,052.30亿元、列全省第六位，一般公共预算收入83.50亿元、列全省第六位。整体来看，佳木斯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佳木斯市财政体量在黑龙江省处于中游，税收占比37.72%、税收占比处于一般水平，但政府性基金收入较2023年累计增长96%；2025年末宽口径债务率828.10%、处于偏高水平，已显著高于公认的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佳木斯市一般公共预算收入分别为77.13亿元、81.52亿元、83.50亿元，其中税收收入29.98亿元、29.41亿元、31.50亿元，税收占比维持在38.87%、36.08%、37.72%；一般公共预算支出370.08亿元、415.75亿元、408.20亿元，财政自给率20.84%、19.61%、20.46%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政府性基金收入方面，2023、2024、2025年分别为9.15亿元、17.50亿元、17.90亿元，政府性基金收入较2023年累计增长96%，反映地方综合财力对房地产周期的敞口。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图表：2023-2025年佳木斯市财政收入情况(单位:亿元、%)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资料来源:佳木斯市财政决算、企业预警通,风控信评部整理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土地市场方面，【待补充:佳木斯市土地出让与房地产销售数据（土地市场数据库未覆盖该市）】。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佳木斯市地方政府债务余额分别为507.03亿元、620.10亿元、715.20亿元，2025年末债务限额720.20亿元，债务余额控制在限额以内；城投有息债务2025年末估算余额125.72亿元。债务率指标看，2025年末政府债务率704.30%、城投债务率123.80%、宽口径债务率828.10%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佳木斯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