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双鸭山市信用评级报告(区域部分)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双鸭山作为黑龙江省下辖地级市，经济总量列黑龙江省第九位，人均经济实力居省内中游，经济增速由2.17%回升至4.20%、动能边际改善；固定资产投资最新增速3.00%，经济运行总体平稳。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双鸭山市2023、2024、2025年地区生产总值分别为557.03亿元、557.44亿元、571.10亿元，同比增长2.17%、3.38%、4.20%。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产业结构方面，2025年双鸭山市三次产业结构为34.8:20.3:44.9，第三产业占主导、服务业是经济主体，农业基础较好。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2023、2024、2025年固定资产投资增速分别为-35.00%、15.60%、3.00%，进出口总额4.42亿美元。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双鸭山市2025年GDP总量571.10亿元、列全省第九位，一般公共预算收入58.30亿元、列全省第八位。整体来看，双鸭山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双鸭山市财政体量在黑龙江省处于中游，税收占比39.45%、税收占比处于一般水平，但政府性基金收入较2023年累计增长78%；2025年末宽口径债务率715.35%、处于偏高水平，已显著高于公认的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双鸭山市一般公共预算收入分别为43.46亿元、49.23亿元、58.30亿元，其中税收收入21.75亿元、21.08亿元、23.00亿元，税收占比维持在50.03%、42.83%、39.45%；一般公共预算支出198.43亿元、209.14亿元、224.50亿元，财政自给率21.90%、23.54%、25.97%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政府性基金收入方面，2023、2024、2025年分别为3.48亿元、3.45亿元、6.20亿元，政府性基金收入较2023年累计增长78%，反映地方综合财力对房地产周期的敞口。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图表：2023-2025年双鸭山市财政收入情况(单位:亿元、%)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79.71%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资料来源:双鸭山市财政决算、企业预警通,风控信评部整理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土地市场方面，【待补充:双鸭山市土地出让与房地产销售数据（土地市场数据库未覆盖该市）】。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双鸭山市地方政府债务余额分别为380.71亿元、450.53亿元、522.16亿元，2025年末债务限额525.18亿元，债务余额控制在限额以内；城投有息债务2025年末估算余额88.03亿元。债务率指标看，2025年末政府债务率612.14%、城投债务率103.20%、宽口径债务率715.35%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双鸭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