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哈尔滨市信用评级报告(区域部分)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哈尔滨作为黑龙江省省会，经济总量在黑龙江省稳居第一，人均经济实力居省内中游，经济增速由3.09%回升至4.60%、动能边际改善；固定资产投资连续负增长（最新-6.10%），经济动能仍有待修复。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哈尔滨市2023、2024、2025年地区生产总值分别为5,888.57亿元、6,002.10亿元、6,188.50亿元，同比增长3.09%、4.30%、4.60%。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产业结构方面，哈尔滨作为黑龙江省省会，以装备制造、食品工业、医药、航空航天为支柱，聚集哈电集团等企业。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2023、2024、2025年固定资产投资增速分别为-24.70%、14.30%、-6.10%，2025年社会消费品零售总额2,557.70亿元，进出口总额70.42亿美元。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哈尔滨市2025年GDP总量6,188.50亿元、列全省第一位，一般公共预算收入368.31亿元、列全省第一位。整体来看，哈尔滨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哈尔滨市财政体量在黑龙江省稳居第一，税收占比66.90%、税收质量较好，但政府性基金收入较2023年累计增长32%；2025年末宽口径债务率1066.36%、处于偏高水平，已显著高于公认的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哈尔滨市一般公共预算收入分别为313.07亿元、337.84亿元、368.31亿元，其中税收收入239.46亿元、246.21亿元、246.41亿元，税收占比维持在76.49%、72.88%、66.90%；一般公共预算支出1,080.70亿元、1,257.56亿元、1,245.22亿元，财政自给率28.97%、26.87%、29.58%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政府性基金收入方面，2023、2024、2025年分别为51.36亿元、60.83亿元、67.93亿元，政府性基金收入较2023年累计增长32%，反映地方综合财力对房地产周期的敞口。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图表：2023-2025年哈尔滨市财政收入情况(单位:亿元、%)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1,080.70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1,257.56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1,245.22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资料来源:哈尔滨市财政决算、企业预警通,风控信评部整理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土地市场方面，【待补充:哈尔滨市土地出让与房地产销售数据（土地市场数据库未覆盖该市）】。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哈尔滨市地方政府债务余额分别为3,253.28亿元、3,486.31亿元、3,784.29亿元，2025年末债务限额3,824.96亿元，债务余额控制在限额以内；城投有息债务2025年末估算余额876.10亿元。债务率指标看，2025年末政府债务率865.89%、城投债务率200.46%、宽口径债务率1066.36%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哈尔滨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