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铜陵市信用评级报告(区域部分)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铜陵作为安徽省下辖地级市，经济总量列安徽省第14位，人均经济实力居省内中游，经济增速由5.50%回升至6.10%、动能边际改善；固定资产投资连续负增长（最新-7.10%），经济动能仍有待修复。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铜陵市2023、2024、2025年地区生产总值分别为1,241.76亿元、1,325.46亿元、1,415.40亿元，同比增长5.50%、6.40%、6.10%。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产业结构方面，铜陵作为安徽省下辖地级市，区域产业结构以本地优势产业为主。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2023、2024、2025年固定资产投资增速分别为8.20%、-7.20%、-7.10%，2025年社会消费品零售总额468.90亿元，进出口总额176.95亿美元。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图表：2025年安徽省各地级市主要经济指标对比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合肥市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14,210.00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2.4:36.7:60.9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977.30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芜湖市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5,402.69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439.60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滁州市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4,221.10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阜阳市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3,777.60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11.3:29.7:59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安庆市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3,306.08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马鞍山市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2,920.90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3.9:41.3:54.8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225.60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亳州市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2,621.10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173.90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宿州市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2,538.40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14:30.1:55.9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151.37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蚌埠市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2,421.10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11.7:30.3:58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190.72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六安市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2,407.30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11.9:35:53.1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184.20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宣城市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2,148.60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8.7:43.1:48.2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淮南市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1,750.10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淮北市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1,419.15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6.4:38:55.6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铜陵市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1,415.40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池州市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1,225.00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100.76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黄山市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1,204.90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7.1:31:61.9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铜陵市2025年GDP总量1,415.40亿元、列全省第14位，一般公共预算收入122.40亿元、列全省第13位。整体来看，铜陵市经济基本面在安徽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铜陵市财政体量在安徽省处于中游，税收占比71.00%、税收质量较好；2025年末宽口径债务率1157.68%、处于偏高水平，已显著高于公认的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铜陵市一般公共预算收入分别为112.10亿元、117.20亿元、122.40亿元，其中税收收入79.80亿元、82.70亿元、86.90亿元，税收占比维持在71.19%、70.56%、71.00%；一般公共预算支出213.90亿元、218.50亿元、227.40亿元，财政自给率52.41%、53.64%、53.83%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图表：2023-2025年铜陵市财政收入情况(单位:亿元、%)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86.90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71.19%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70.56%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213.90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218.50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227.40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52.41%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53.64%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53.83%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资料来源:铜陵市财政决算、企业预警通,风控信评部整理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土地市场方面，【待补充:铜陵市土地出让与房地产销售数据（土地市场数据库未覆盖该市）】。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铜陵市地方政府债务余额分别为433.63亿元、499.72亿元、576.02亿元，2025年末债务限额594.88亿元，债务余额控制在限额以内；城投有息债务2025年末估算余额840.98亿元。债务率指标看，2025年末政府债务率470.60%、城投债务率687.07%、宽口径债务率1157.68%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铜陵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