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阜阳市信用评级报告(区域部分)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阜阳作为安徽省下辖地级市，经济总量列安徽省第四位，人均经济实力居省内中游，经济增速维持在5.60%左右、总体平稳；固定资产投资连续负增长（最新-6.70%），经济动能仍有待修复。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阜阳市2023、2024、2025年地区生产总值分别为3,455.42亿元、3,609.83亿元、3,777.60亿元，同比增长5.80%、5.50%、5.60%。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产业结构方面，2025年阜阳市三次产业结构为11.3:29.7:59，第三产业占主导、服务业是经济主体。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2023、2024、2025年固定资产投资增速分别为-14.30%、2.50%、-6.70%，2025年社会消费品零售总额2,608.80亿元，进出口总额15.60亿美元。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阜阳市2025年GDP总量3,777.60亿元、列全省第四位，一般公共预算收入201.00亿元、列全省第六位。整体来看，阜阳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阜阳市财政体量在安徽省处于中游，税收占比—、税收占比处于一般水平；2025年末宽口径债务率1668.17%、处于偏高水平，已显著高于公认的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阜阳市一般公共预算收入分别为194.71亿元、195.11亿元、201.00亿元，其中税收收入133.34亿元、114.30亿元、—亿元，税收占比维持在68.48%、58.58%、—；一般公共预算支出648.98亿元、662.46亿元、747.90亿元，财政自给率30.00%、29.45%、26.88%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图表：2023-2025年阜阳市财政收入情况(单位:亿元、%)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资料来源:阜阳市财政决算、企业预警通,风控信评部整理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土地市场方面，【待补充:阜阳市土地出让与房地产销售数据（土地市场数据库未覆盖该市）】。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阜阳市地方政府债务余额分别为1,517.76亿元、1,800.74亿元、2,052.80亿元，2025年末债务限额2,082.50亿元，债务余额控制在限额以内；城投有息债务2025年末估算余额1,300.22亿元。债务率指标看，2025年末政府债务率1021.29%、城投债务率646.88%、宽口径债务率1668.17%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阜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