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马鞍山市信用评级报告(区域部分)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马鞍山作为安徽省下辖地级市，经济总量列安徽省第六位，人均经济实力居省内中游，经济增速维持在6.00%左右、总体平稳；固定资产投资最新增速转负（-7.70%），经济动能仍有待修复。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马鞍山市2023、2024、2025年地区生产总值分别为2,655.37亿元、2,784.65亿元、2,920.90亿元，同比增长5.70%、6.00%、6.00%。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产业结构方面，2025年马鞍山市三次产业结构为3.9:41.3:54.8，第三产业占主导、服务业是经济主体。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2023、2024、2025年固定资产投资增速分别为7.50%、7.10%、-7.70%，2025年社会消费品零售总额1,118.44亿元，进出口总额62.87亿美元。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马鞍山市2025年GDP总量2,920.90亿元、列全省第六位，一般公共预算收入225.60亿元、列全省第四位。整体来看，马鞍山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马鞍山市财政体量在安徽省处于中游，税收占比63.56%、税收质量较好；2025年末宽口径债务率1001.95%、处于偏高水平，已显著高于公认的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马鞍山市一般公共预算收入分别为208.40亿元、216.84亿元、225.60亿元，其中税收收入142.30亿元、136.40亿元、143.40亿元，税收占比维持在68.28%、62.90%、63.56%；一般公共预算支出320.20亿元、367.52亿元、365.50亿元，财政自给率65.08%、59.00%、61.72%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图表：2023-2025年马鞍山市财政收入情况(单位:亿元、%)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367.52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资料来源:马鞍山市财政决算、企业预警通,风控信评部整理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土地市场方面，【待补充:马鞍山市土地出让与房地产销售数据（土地市场数据库未覆盖该市）】。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马鞍山市地方政府债务余额分别为833.41亿元、961.24亿元、1,118.46亿元，2025年末债务限额1,136.32亿元，债务余额控制在限额以内；城投有息债务2025年末估算余额1,141.93亿元。债务率指标看，2025年末政府债务率495.77%、城投债务率506.18%、宽口径债务率1001.95%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马鞍山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