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东营市信用评级报告(区域部分)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东营作为山东省下辖地级市，经济总量列山东省第九位，人均GDP约20.00万元、人均经济实力居全省前列，经济增速由7.31%回落至5.50%、有所放缓；固定资产投资最新增速转负（-6.90%），经济动能仍有待修复。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东营市2023、2024、2025年地区生产总值分别为4,081.00亿元、4,307.70亿元、4,502.73亿元，同比增长7.31%、6.45%、5.50%。截至2025年末，全市常住人口221.08万人，人均GDP约20.00万元。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产业结构方面，2025年东营市三次产业结构为4.4:59:36.6，第二产业占比较高、工业是经济支柱。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2023、2024、2025年固定资产投资增速分别为8.00%、6.40%、-6.90%，2025年社会消费品零售总额970.92亿元，进出口总额317.83亿美元。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东营市2025年GDP总量4,502.73亿元、列全省第九位，一般公共预算收入313.30亿元、列全省第十位。整体来看，东营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东营市财政体量在山东省处于中游，税收占比64.33%、税收质量较好，但政府性基金收入较2023年累计下降11%、土地财政贡献度弱化；2025年末宽口径债务率392.60%、处于偏高水平，已显著高于公认的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东营市一般公共预算收入分别为284.63亿元、302.15亿元、313.30亿元，其中税收收入199.76亿元、202.01亿元、201.56亿元，税收占比维持在70.18%、66.86%、64.33%；一般公共预算支出381.73亿元、431.73亿元、442.46亿元，财政自给率74.56%、69.99%、70.81%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政府性基金收入方面，2023、2024、2025年分别为124.66亿元、117.92亿元、110.71亿元，政府性基金收入较2023年累计下降11%、土地财政贡献度弱化，反映地方综合财力对房地产周期的敞口。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图表：2023-2025年东营市财政收入情况(单位:亿元、%)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284.63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302.15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-6.11%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资料来源:东营市财政决算、企业预警通,风控信评部整理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土地市场方面，【待补充:东营市土地出让与房地产销售数据（土地市场数据库未覆盖该市）】。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东营市地方政府债务余额分别为905.41亿元、1,058.06亿元、1,241.79亿元，2025年末债务限额1,275.00亿元，债务余额控制在限额以内；城投有息债务2025年末估算余额526.05亿元。债务率指标看，2025年末政府债务率275.77%、城投债务率116.83%、宽口径债务率392.60%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东营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