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临沂市信用评级报告(区域部分)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临沂作为山东省下辖地级市，经济总量列山东省第五位，人均经济实力居省内中游，经济增速由6.39%回落至5.40%、有所放缓；固定资产投资最新增速0.40%，经济运行总体平稳。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临沂市2023、2024、2025年地区生产总值分别为6,270.45亿元、6,555.80亿元、6,862.20亿元，同比增长6.39%、5.70%、5.40%。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产业结构方面，临沂作为山东省下辖地级市，以商贸物流、木业、机械、食品为支柱，是江北重要的商品集散地。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2023、2024、2025年固定资产投资增速分别为6.50%、4.30%、0.40%，2025年社会消费品零售总额3,877.50亿元，进出口总额248.61亿美元。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临沂市2025年GDP总量6,862.20亿元、列全省第五位，一般公共预算收入482.57亿元、列全省第六位。整体来看，临沂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临沂市财政体量在山东省处于中游，税收占比65.05%、税收质量较好，但政府性基金收入较2023年累计增长19%；2025年末宽口径债务率292.76%、处于中等偏高水平，处于相对偏高区间，需关注债务扩张节奏。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临沂市一般公共预算收入分别为445.77亿元、468.51亿元、482.57亿元，其中税收收入328.87亿元、316.98亿元、313.92亿元，税收占比维持在73.78%、67.66%、65.05%；一般公共预算支出920.16亿元、976.39亿元、1,011.00亿元，财政自给率48.44%、47.98%、47.73%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政府性基金收入方面，2023、2024、2025年分别为244.65亿元、265.90亿元、292.19亿元，政府性基金收入较2023年累计增长19%，反映地方综合财力对房地产周期的敞口。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图表：2023-2025年临沂市财政收入情况(单位:亿元、%)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445.77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920.16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976.39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47.98%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资料来源:临沂市财政决算、企业预警通,风控信评部整理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土地市场方面，【待补充:临沂市土地出让与房地产销售数据（土地市场数据库未覆盖该市）】。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临沂市地方政府债务余额分别为1,690.75亿元、1,954.92亿元、2,259.59亿元，2025年末债务限额2,330.58亿元，债务余额控制在限额以内；城投有息债务2025年末估算余额2,008.54亿元。债务率指标看，2025年末政府债务率154.99%、城投债务率137.77%、宽口径债务率292.76%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临沂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