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威海市信用评级报告(区域部分)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威海作为山东省下辖地级市，经济总量列山东省第11位，人均GDP约13.38万元、人均经济实力居全省中游，经济增速维持在5.80%左右、总体平稳；固定资产投资最新增速转负（-12.50%），经济动能仍有待修复。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威海市2023、2024、2025年地区生产总值分别为3,565.34亿元、3,724.77亿元、3,896.09亿元，同比增长5.69%、5.70%、5.80%。截至2025年末，全市常住人口291.16万人，人均GDP约13.38万元（按当年GDP与常住人口估算）。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产业结构方面，2025年威海市三次产业结构为9.1:36.1:54.8，第三产业占主导、服务业是经济主体。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2023、2024、2025年固定资产投资增速分别为4.30%、4.40%、-12.50%，2025年社会消费品零售总额1,555.03亿元，进出口总额282.19亿美元。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威海市2025年GDP总量3,896.09亿元、列全省第11位，一般公共预算收入257.91亿元、列全省第14位。整体来看，威海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威海市财政体量在山东省处于中游，税收占比66.94%、税收质量较好，但政府性基金收入较2023年累计增长19%；2025年末宽口径债务率340.47%、处于偏高水平，已显著高于公认的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威海市一般公共预算收入分别为237.38亿元、249.75亿元、257.91亿元，其中税收收入169.14亿元、169.34亿元、172.66亿元，税收占比维持在71.25%、67.80%、66.94%；一般公共预算支出430.44亿元、480.46亿元、485.56亿元，财政自给率55.15%、51.98%、53.12%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政府性基金收入方面，2023、2024、2025年分别为189.42亿元、211.09亿元、225.52亿元，政府性基金收入较2023年累计增长19%，反映地方综合财力对房地产周期的敞口。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图表：2023-2025年威海市财政收入情况(单位:亿元、%)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430.44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480.46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189.42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资料来源:威海市财政决算、企业预警通,风控信评部整理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土地市场方面，【待补充:威海市土地出让与房地产销售数据（土地市场数据库未覆盖该市）】。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威海市地方政府债务余额分别为1,012.08亿元、1,215.09亿元、1,451.81亿元，2025年末债务限额1,539.37亿元，债务余额控制在限额以内；城投有息债务2025年末估算余额1,917.06亿元。债务率指标看，2025年末政府债务率146.72%、城投债务率193.74%、宽口径债务率340.47%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威海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