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枣庄市信用评级报告(区域部分)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枣庄作为山东省下辖地级市，经济总量列山东省第16位，人均GDP约6.58万元、人均经济实力在省内相对靠后，经济增速由6.74%回落至5.70%、有所放缓；固定资产投资最新增速1.90%，经济运行总体平稳。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枣庄市2023、2024、2025年地区生产总值分别为2,276.22亿元、2,380.26亿元、2,502.52亿元，同比增长6.74%、5.80%、5.70%。截至2025年末，全市常住人口380.04万人，人均GDP约6.58万元（按当年GDP与常住人口估算）。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产业结构方面，2025年枣庄市三次产业结构为8.4:37.6:54，第三产业占主导、服务业是经济主体。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2023、2024、2025年固定资产投资增速分别为7.20%、5.70%、1.90%，2025年社会消费品零售总额1,405.00亿元，进出口总额58.47亿美元。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枣庄市2025年GDP总量2,502.52亿元、列全省第16位，一般公共预算收入200.20亿元、列全省第16位。整体来看，枣庄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枣庄市财政体量在山东省处于中游，税收占比61.00%、税收质量较好，但政府性基金收入较2023年累计下降11%、土地财政贡献度弱化；2025年末宽口径债务率266.88%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枣庄市一般公共预算收入分别为181.05亿元、191.58亿元、200.20亿元，其中税收收入116.15亿元、117.34亿元、122.11亿元，税收占比维持在64.15%、61.25%、61.00%；一般公共预算支出352.05亿元、354.38亿元、369.20亿元，财政自给率51.43%、54.06%、54.22%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政府性基金收入方面，2023、2024、2025年分别为324.19亿元、308.79亿元、287.24亿元，政府性基金收入较2023年累计下降11%、土地财政贡献度弱化，反映地方综合财力对房地产周期的敞口。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图表：2023-2025年枣庄市财政收入情况(单位:亿元、%)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116.15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352.05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287.24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-6.98%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资料来源:枣庄市财政决算、企业预警通,风控信评部整理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土地市场方面，【待补充:枣庄市土地出让与房地产销售数据（土地市场数据库未覆盖该市）】。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枣庄市地方政府债务余额分别为790.80亿元、941.07亿元、1,110.22亿元，2025年末债务限额1,157.25亿元，债务余额控制在限额以内；城投有息债务2025年末估算余额888.52亿元。债务率指标看，2025年末政府债务率148.24%、城投债务率118.64%、宽口径债务率266.88%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枣庄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