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济南市信用评级报告(区域部分)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济南作为山东省省会，经济总量列山东省第二位，人均GDP约14.78万元、人均经济实力居全省前列，经济增速由6.06%回落至5.40%、有所放缓；固定资产投资最新增速转负（-12.90%），经济动能仍有待修复。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济南市2023、2024、2025年地区生产总值分别为13,005.84亿元、13,527.70亿元、14,210.00亿元，同比增长6.06%、5.40%、5.40%。截至2025年末，全市常住人口961.60万人，人均GDP约14.78万元（按当年GDP与常住人口估算）。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产业结构方面，2025年济南市三次产业结构为3.1:32.4:64.5，以装备制造、信息技术、生物医药为支柱，聚集浪潮、中国重汽等企业。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2023、2024、2025年固定资产投资增速分别为2.10%、0.40%、-12.90%，2025年社会消费品零售总额5,547.90亿元，进出口总额405.72亿美元。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青岛市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17,560.67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2.9:33.5:63.6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1051.55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3.1:32.4:64.5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1,093.35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烟台市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11,350.98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6.2:42.4:51.4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潍坊市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8,587.36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8.5:41.2:50.3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630.52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临沂市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6,862.20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6,128.10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10.6:36.2:53.2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502.72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812.93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淄博市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5,088.89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4:45.6:50.4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460.64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菏泽市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4,937.40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4,502.73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4.4:59:36.6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4,214.61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9.4:42.5:48.1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542.66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威海市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3,896.09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9.1:36.1:54.8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291.16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3,803.50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9.8:40.4:49.8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523.18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滨州市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3,558.17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9:44.9:46.1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聊城市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3,304.15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13.3:40.6:46.1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日照市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2,689.96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枣庄市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8.4:37.6:54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380.04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济南市2025年GDP总量14,210.00亿元、列全省第二位，一般公共预算收入1,093.35亿元、列全省第二位。整体来看，济南市经济基本面在山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济南市财政体量在山东省位居前列，税收占比74.34%、税收质量较好，但政府性基金收入总体平稳；2025年末宽口径债务率601.14%、处于偏高水平，已显著高于公认的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济南市一般公共预算收入分别为1,060.82亿元、1,083.05亿元、1,093.35亿元，其中税收收入797.93亿元、784.18亿元、812.82亿元，税收占比维持在75.22%、72.40%、74.34%；一般公共预算支出1,365.29亿元、1,397.15亿元、1,407.49亿元，财政自给率77.70%、77.52%、77.68%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政府性基金收入方面，2023、2024、2025年分别为520.76亿元、592.00亿元、567.26亿元，政府性基金收入总体平稳，反映地方综合财力对房地产周期的敞口。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图表：2023-2025年济南市财政收入情况(单位:亿元、%)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1,060.82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1,083.05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1,093.35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797.93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784.18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812.82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1,365.29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1,397.15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1,407.49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567.26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-4.18%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资料来源:济南市财政决算、企业预警通,风控信评部整理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济南市经营性用地成交价分别为928.91亿元、406.07亿元、349.47亿元、419.67亿元、266.73亿元，2025年较2021年下降71.29%；同期平均溢价率为3.32%、1.51%、2.51%、1.45%、4.35%；成交楼面均价为2,132元/㎡。2026年1-4月，济南市经营性用地累计成交55宗、规划建面280.73万㎡、成交价23.98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图表:2021-2025年济南市土地出让情况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5,166.15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1,798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3.32%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928.91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1,969.03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2,045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1.51%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406.07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2,346.03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1,488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2.51%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349.47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1,955.06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2,127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1.45%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419.67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1,250.03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2,132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4.35%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266.73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280.73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23.98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济南市商品住宅成交面积由1,402.83万㎡变动至466.85万㎡、累计下降66.7%；新房均价2025年为13,712元/㎡、较2023年高点(14,887元/㎡)累计下跌7.89%；2025年去化周期27.77个月。据中指冰山指数(最低挂牌价口径)，济南二手房挂牌价较2018年7月高点累计下跌42.11%，2023年累计跌幅-5.04%、2024年累计跌幅-10.22%、2025年累计跌幅-13.78%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济南市地方政府债务余额分别为3,180.43亿元、3,770.56亿元、4,429.54亿元，2025年末债务限额4,584.57亿元，债务余额控制在限额以内；城投有息债务2025年末估算余额10,357.99亿元。债务率指标看，2025年末政府债务率180.07%、城投债务率421.07%、宽口径债务率601.14%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济南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