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淄博市信用评级报告(区域部分)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淄博作为山东省下辖地级市，经济总量列山东省第七位，人均GDP约10.80万元、人均经济实力居全省中游，经济增速维持在5.60%左右、总体平稳；固定资产投资最新增速转负（-12.60%），经济动能仍有待修复。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淄博市2023、2024、2025年地区生产总值分别为4,677.97亿元、4,867.19亿元、5,088.89亿元，同比增长5.59%、5.40%、5.60%。截至2025年末，全市常住人口460.64万人，人均GDP约10.80万元。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产业结构方面，2025年淄博市三次产业结构为4:45.6:50.4，第三产业占主导、服务业是经济主体。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2023、2024、2025年固定资产投资增速分别为5.90%、4.50%、-12.60%，2025年社会消费品零售总额1,712.60亿元，进出口总额141.51亿美元。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淄博市2025年GDP总量5,088.89亿元、列全省第七位，一般公共预算收入419.73亿元、列全省第七位。整体来看，淄博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淄博市财政体量在山东省处于中游，税收占比53.10%、税收占比处于一般水平，但政府性基金收入较2023年累计增长11%；2025年末宽口径债务率432.86%、处于偏高水平，已显著高于公认的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淄博市一般公共预算收入分别为395.30亿元、411.44亿元、419.73亿元，其中税收收入254.41亿元、227.18亿元、222.86亿元，税收占比维持在64.36%、55.22%、53.10%；一般公共预算支出550.33亿元、577.56亿元、583.28亿元，财政自给率71.83%、71.24%、71.96%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政府性基金收入方面，2023、2024、2025年分别为213.67亿元、264.22亿元、238.07亿元，政府性基金收入较2023年累计增长11%，反映地方综合财力对房地产周期的敞口。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图表：2023-2025年淄博市财政收入情况(单位:亿元、%)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411.44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222.86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577.56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583.28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-9.90%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资料来源:淄博市财政决算、企业预警通,风控信评部整理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土地市场方面，【待补充:淄博市土地出让与房地产销售数据（土地市场数据库未覆盖该市）】。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淄博市地方政府债务余额分别为1,226.00亿元、1,427.12亿元、1,673.02亿元，2025年末债务限额1,748.58亿元，债务余额控制在限额以内；城投有息债务2025年末估算余额2,548.50亿元。债务率指标看，2025年末政府债务率171.55%、城投债务率261.32%、宽口径债务率432.86%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淄博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