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聊城市信用评级报告(区域部分)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聊城作为山东省下辖地级市，经济总量列山东省第14位，人均GDP约5.74万元、人均经济实力在省内相对靠后，经济增速由6.23%回落至5.60%、有所放缓；固定资产投资最新增速0.30%，经济运行总体平稳。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聊城市2023、2024、2025年地区生产总值分别为3,044.14亿元、3,161.63亿元、3,304.15亿元，同比增长6.23%、5.60%、5.60%。截至2025年末，全市常住人口575.86万人，人均GDP约5.74万元（按当年GDP与常住人口估算）。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产业结构方面，2025年聊城市三次产业结构为13.3:40.6:46.1，第三产业占主导、服务业是经济主体。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2023、2024、2025年固定资产投资增速分别为7.30%、5.10%、0.30%，2025年社会消费品零售总额1,388.01亿元，进出口总额101.93亿美元。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聊城市2025年GDP总量3,304.15亿元、列全省第14位，一般公共预算收入264.80亿元、列全省第12位。整体来看，聊城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聊城市财政体量在山东省处于中游，税收占比59.65%、税收占比处于一般水平，但政府性基金收入较2023年累计下降23%、土地财政贡献度弱化；2025年末宽口径债务率239.01%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聊城市一般公共预算收入分别为244.62亿元、257.10亿元、264.80亿元，其中税收收入154.01亿元、152.15亿元、157.96亿元，税收占比维持在62.96%、59.18%、59.65%；一般公共预算支出535.67亿元、576.54亿元、554.92亿元，财政自给率45.67%、44.59%、47.72%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政府性基金收入方面，2023、2024、2025年分别为227.53亿元、187.03亿元、174.78亿元，政府性基金收入较2023年累计下降23%、土地财政贡献度弱化，反映地方综合财力对房地产周期的敞口。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图表：2023-2025年聊城市财政收入情况(单位:亿元、%)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157.96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554.92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-6.55%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资料来源:聊城市财政决算、企业预警通,风控信评部整理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土地市场方面，【待补充:聊城市土地出让与房地产销售数据（土地市场数据库未覆盖该市）】。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聊城市地方政府债务余额分别为1,132.91亿元、1,359.44亿元、1,620.42亿元，2025年末债务限额1,688.67亿元，债务余额控制在限额以内；城投有息债务2025年末估算余额365.37亿元。债务率指标看，2025年末政府债务率195.03%、城投债务率43.98%、宽口径债务率239.01%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聊城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