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青岛市信用评级报告(区域部分)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青岛作为计划单列市，经济总量在山东省稳居第一，人均GDP约16.70万元、人均经济实力居全省前列，经济增速由5.88%回落至5.40%、有所放缓；固定资产投资最新增速转负（-18.70%），经济动能仍有待修复。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青岛市2023、2024、2025年地区生产总值分别为15,973.16亿元、16,719.39亿元、17,560.67亿元，同比增长5.88%、5.70%、5.40%。截至2025年末，全市常住人口1051.55万人，人均GDP约16.70万元（按当年GDP与常住人口估算）。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产业结构方面，2025年青岛市三次产业结构为2.9:33.5:63.6，以家电电子、轨道交通装备、海洋经济、港口物流为支柱，聚集海尔、海信、青岛啤酒、中车四方等品牌企业。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2023、2024、2025年固定资产投资增速分别为5.00%、0.80%、-18.70%，2025年社会消费品零售总额6,960.70亿元，进出口总额1,278.04亿美元。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青岛市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17,560.67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2.9:33.5:63.6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1051.55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3.1:32.4:64.5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1,093.35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烟台市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11,350.98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6.2:42.4:51.4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潍坊市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8,587.36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8.5:41.2:50.3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630.52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临沂市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6,862.20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6,128.10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10.6:36.2:53.2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502.72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812.93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淄博市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5,088.89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4:45.6:50.4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460.64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菏泽市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4,937.40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4,502.73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4.4:59:36.6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4,214.61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9.4:42.5:48.1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542.66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威海市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3,896.09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9.1:36.1:54.8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291.16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3,803.50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9.8:40.4:49.8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523.18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滨州市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3,558.17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9:44.9:46.1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聊城市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3,304.15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13.3:40.6:46.1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日照市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2,689.96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枣庄市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8.4:37.6:54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380.04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青岛市2025年GDP总量17,560.67亿元、列全省第一位，一般公共预算收入1,340.72亿元、列全省第一位。整体来看，青岛市经济基本面在山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青岛市财政体量在山东省稳居第一，税收占比70.90%、税收质量较好，但政府性基金收入较2023年累计下降39%、土地财政贡献度弱化；2025年末宽口径债务率1244.37%、处于偏高水平，已显著高于公认的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青岛市一般公共预算收入分别为1,337.86亿元、1,339.26亿元、1,340.72亿元，其中税收收入1,006.10亿元、937.77亿元、950.51亿元，税收占比维持在75.20%、70.02%、70.90%；一般公共预算支出1,718.80亿元、1,720.42亿元、1,718.52亿元，财政自给率77.84%、77.84%、78.02%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政府性基金收入方面，2023、2024、2025年分别为530.83亿元、299.02亿元、324.65亿元，政府性基金收入较2023年累计下降39%、土地财政贡献度弱化，反映地方综合财力对房地产周期的敞口。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图表：2023-2025年青岛市财政收入情况(单位:亿元、%)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1,337.86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1,339.26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-6.79%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950.51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1,718.80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1,720.42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1,718.52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-0.11%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299.02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-43.67%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8.57%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资料来源:青岛市财政决算、企业预警通,风控信评部整理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青岛市经营性用地成交价分别为798.27亿元、612.06亿元、355.19亿元、181.42亿元、186.59亿元，2025年较2021年下降76.63%；同期平均溢价率为0.64%、1.74%、1.44%、3.85%、1.47%；成交楼面均价由2,087元/㎡降至1,484元/㎡、累计下降28.89%。2026年1-4月，青岛市经营性用地累计成交61宗、规划建面219.74万㎡、成交价37.87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图表:2021-2025年青岛市土地出让情况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3,824.26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2,087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0.64%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798.27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2,719.99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2,257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1.74%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612.06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1,390.40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2,534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1.44%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355.19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1,300.25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3.85%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181.42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1,256.29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1,484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1.47%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186.59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219.74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37.87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青岛市商品住宅成交面积由1,495.09万㎡变动至529.34万㎡、累计下降64.6%；新房均价2025年为14,582元/㎡、较2022年高点(15,623元/㎡)累计下跌6.66%；2025年去化周期41.84个月。据中指冰山指数(最低挂牌价口径)，青岛二手房挂牌价较2018年7月高点累计下跌58.72%，2023年累计跌幅-8.48%、2024年累计跌幅-12.35%、2025年累计跌幅-15.01%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青岛市地方政府债务余额分别为3,620.01亿元、4,382.57亿元、5,261.12亿元，2025年末债务限额5,454.95亿元，债务余额控制在限额以内；城投有息债务2025年末估算余额15,687.14亿元。债务率指标看，2025年末政府债务率312.52%、城投债务率931.85%、宽口径债务率1244.37%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青岛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