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临汾市信用评级报告(区域部分)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临汾作为山西省下辖地级市，经济总量列山西省第四位，人均GDP约6.54万元、人均经济实力在省内相对靠后，经济增速由7.80%回落至7.00%、有所放缓；固定资产投资最新增速10.50%，经济运行总体平稳。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临汾市2023、2024、2025年地区生产总值分别为2,399.20亿元、2,425.10亿元、2,513.80亿元，同比增长7.80%、6.20%、7.00%。截至2025年末，全市常住人口383.14万人，人均GDP约6.54万元。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产业结构方面，2025年临汾市三次产业结构为7.9:40.9:51.2，第三产业占主导、服务业是经济主体。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2023、2024、2025年固定资产投资增速分别为4.30%、12.20%、10.50%，2025年社会消费品零售总额1,005.00亿元，进出口总额4.25亿美元。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太原市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5,382.45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0.9:28:71.1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443.07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552.61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吕梁市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2,575.02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4.24:54.52:41.24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328.08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长治市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307.50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2,513.80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7.9:40.9:51.2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162.79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383.14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晋中市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2,462.60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6.1:39.7:54.2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329.45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晋城市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3.2:55.4:41.4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运城市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2,248.00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16.4:32.3:51.3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463.23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1,815.00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6.6:31.4:62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304.43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忻州市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1,330.40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8.8:37.3:53.9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256.50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朔州市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1,303.70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7.5:38.4:54.1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156.10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2.1:41.1:56.8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128.02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临汾市2025年GDP总量2,513.80亿元、列全省第四位，一般公共预算收入162.79亿元、列全省第七位。整体来看，临汾市经济基本面在山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临汾市财政体量在山西省处于中游，税收占比69.13%、税收质量较好，但政府性基金收入总体平稳；2025年末宽口径债务率127.03%、处于可控水平，整体处于可控水平。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临汾市一般公共预算收入分别为198.89亿元、187.65亿元、162.79亿元，其中税收收入144.07亿元、126.19亿元、112.53亿元，税收占比维持在72.44%、67.24%、69.13%；一般公共预算支出544.11亿元、573.87亿元、542.94亿元，财政自给率36.55%、32.70%、29.98%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政府性基金收入方面，2023、2024、2025年分别为46.41亿元、46.61亿元、49.41亿元，政府性基金收入总体平稳，反映地方综合财力对房地产周期的敞口。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图表：2023-2025年临汾市财政收入情况(单位:亿元、%)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187.65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162.79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-13.25%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-12.41%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-10.82%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544.11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573.87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-5.39%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资料来源:临汾市财政决算、企业预警通,风控信评部整理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土地市场方面，【待补充:临汾市土地出让与房地产销售数据（土地市场数据库未覆盖该市）】。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临汾市地方政府债务余额分别为553.02亿元、642.15亿元、772.34亿元，2025年末债务限额782.20亿元，债务余额控制在限额以内；城投有息债务2025年末估算余额175.73亿元。债务率指标看，2025年末政府债务率103.49%、城投债务率23.55%、宽口径债务率127.03%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临汾市财政基本盘总体稳健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