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大同市信用评级报告(区域部分)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大同作为山西省下辖地级市，经济总量列山西省第八位，人均GDP约5.96万元、人均经济实力在省内相对靠后，经济增速由5.10%回落至3.20%、有所放缓；固定资产投资最新增速3.30%，经济运行总体平稳。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大同市2023、2024、2025年地区生产总值分别为1,824.60亿元、1,792.50亿元、1,815.00亿元，同比增长5.10%、2.50%、3.20%。截至2025年末，全市常住人口304.43万人，人均GDP约5.96万元。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产业结构方面，2025年大同市三次产业结构为6.6:31.4:62，第三产业占主导、服务业是经济主体。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2023、2024、2025年固定资产投资增速分别为-9.10%、0.80%、3.30%，2025年社会消费品零售总额575.80亿元，进出口总额6.62亿美元。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太原市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0.9:28:71.1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552.61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吕梁市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4.24:54.52:41.24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长治市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7.9:40.9:51.2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6.1:39.7:54.2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3.2:55.4:41.4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16.4:32.3:51.3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6.6:31.4:62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忻州市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8.8:37.3:53.9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朔州市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7.5:38.4:54.1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2.1:41.1:56.8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128.02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大同市2025年GDP总量1,815.00亿元、列全省第八位，一般公共预算收入175.39亿元、列全省第六位。整体来看，大同市经济基本面在山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大同市财政体量在山西省处于中游，税收占比60.68%、税收质量较好，但政府性基金收入较2023年累计增长22%；2025年末宽口径债务率177.09%、处于可控水平，整体处于可控水平。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大同市一般公共预算收入分别为194.05亿元、188.09亿元、175.39亿元，其中税收收入128.27亿元、117.63亿元、106.42亿元，税收占比维持在66.10%、62.54%、60.68%；一般公共预算支出464.60亿元、477.47亿元、469.28亿元，财政自给率41.77%、39.39%、37.37%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政府性基金收入方面，2023、2024、2025年分别为36.60亿元、34.35亿元、44.74亿元，政府性基金收入较2023年累计增长22%，反映地方综合财力对房地产周期的敞口。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图表：2023-2025年大同市财政收入情况(单位:亿元、%)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194.05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-6.75%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-9.53%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469.28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30.25%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资料来源:大同市财政决算、企业预警通,风控信评部整理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土地市场方面，【待补充:大同市土地出让与房地产销售数据（土地市场数据库未覆盖该市）】。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大同市地方政府债务余额分别为560.28亿元、680.43亿元、747.90亿元，2025年末债务限额755.82亿元，债务余额控制在限额以内；城投有息债务2025年末估算余额153.42亿元。债务率指标看，2025年末政府债务率146.94%、城投债务率30.14%、宽口径债务率177.09%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大同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