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太原市信用评级报告(区域部分)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太原作为山西省省会，经济总量在山西省稳居第一，人均GDP约9.75万元、人均经济实力居全省前列，经济增速由3.70%回落至1.30%、有所放缓；固定资产投资连续负增长（最新-18.00%），经济动能仍有待修复。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太原市2023、2024、2025年地区生产总值分别为5,494.84亿元、5,418.87亿元、5,382.45亿元，同比增长3.70%、1.20%、1.30%。截至2025年末，全市常住人口552.61万人，人均GDP约9.75万元。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产业结构方面，2025年太原市三次产业结构为0.9:28:71.1，以钢铁、煤化工、装备制造、新材料为支柱，聚集太钢（不锈钢）等企业。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2023、2024、2025年固定资产投资增速分别为-18.30%、0.50%、-18.00%，2025年社会消费品零售总额2,365.53亿元，进出口总额124.85亿美元。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太原市2025年GDP总量5,382.45亿元、列全省第一位，一般公共预算收入443.07亿元、列全省第一位。整体来看，太原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太原市财政体量在山西省稳居第一，税收占比72.99%、税收质量较好，但政府性基金收入较2023年累计下降55%、土地财政贡献度弱化；2025年末宽口径债务率277.86%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太原市一般公共预算收入分别为449.24亿元、440.26亿元、443.07亿元，其中税收收入336.34亿元、308.94亿元、323.38亿元，税收占比维持在74.87%、70.17%、72.99%；一般公共预算支出777.26亿元、744.38亿元、709.86亿元，财政自给率57.80%、59.15%、62.42%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政府性基金收入方面，2023、2024、2025年分别为196.22亿元、154.49亿元、87.51亿元，政府性基金收入较2023年累计下降55%、土地财政贡献度弱化，反映地方综合财力对房地产周期的敞口。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图表：2023-2025年太原市财政收入情况(单位:亿元、%)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709.86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-43.36%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资料来源:太原市财政决算、企业预警通,风控信评部整理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太原市经营性用地成交价分别为193.66亿元、145.56亿元、175.23亿元、131.70亿元、76.30亿元，2025年较2021年下降60.60%；同期平均溢价率为13.83%、23.30%、0.88%、0.29%、1.56%；成交楼面均价由986元/㎡降至921元/㎡、累计下降6.59%。2026年1-4月，太原市经营性用地累计成交50宗、规划建面245.27万㎡、成交价48.38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图表:2021-2025年太原市土地出让情况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1,964.21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193.66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1,316.59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1,779.23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175.23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918.46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131.70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828.46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76.30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245.27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从房地产销售看，新房均价2025年为11,454元/㎡。据中指冰山指数(最低挂牌价口径)，太原二手房挂牌价较2019年4月高点累计下跌32.80%，2023年累计跌幅-4.40%、2024年累计跌幅-3.35%、2025年累计跌幅-5.97%。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太原市地方政府债务余额分别为1,167.48亿元、1,422.98亿元、1,791.69亿元，2025年末债务限额1,811.51亿元，债务余额控制在限额以内；城投有息债务2025年末估算余额1,069.78亿元。债务率指标看，2025年末政府债务率173.98%、城投债务率103.88%、宽口径债务率277.86%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太原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