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忻州市信用评级报告(区域部分)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忻州作为山西省下辖地级市，经济总量列山西省第九位，人均GDP约5.15万元、人均经济实力在省内相对靠后，经济增速维持在3.00%左右、总体平稳；固定资产投资最新增速4.70%，经济运行总体平稳。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忻州市2023、2024、2025年地区生产总值分别为1,445.60亿元、1,335.90亿元、1,330.40亿元，同比增长3.10%、-2.30%、3.00%。截至2025年末，全市常住人口256.50万人，人均GDP约5.15万元。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产业结构方面，2025年忻州市三次产业结构为8.8:37.3:53.9，第三产业占主导、服务业是经济主体。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2023、2024、2025年固定资产投资增速分别为-9.00%、5.30%、4.70%，2025年社会消费品零售总额292.30亿元，进出口总额4.40亿美元。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图表：2025年山西省各地级市主要经济指标对比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太原市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5,382.45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0.9:28:71.1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443.07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552.61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吕梁市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2,575.02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4.24:54.52:41.24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278.26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328.08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长治市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2,558.30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307.50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2,513.80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7.9:40.9:51.2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162.79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383.14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晋中市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2,462.60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6.1:39.7:54.2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185.14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329.45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晋城市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2,429.90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3.2:55.4:41.4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230.58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运城市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2,248.00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16.4:32.3:51.3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463.23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1,815.00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6.6:31.4:62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304.43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忻州市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1,330.40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8.8:37.3:53.9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256.50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朔州市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1,303.70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7.5:38.4:54.1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123.72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156.10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阳泉市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870.60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2.1:41.1:56.8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128.02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忻州市2025年GDP总量1,330.40亿元、列全省第九位，一般公共预算收入148.17亿元、列全省第八位。整体来看，忻州市经济基本面在山西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忻州市财政体量在山西省处于中游，税收占比63.24%、税收质量较好，但政府性基金收入总体平稳；2025年末宽口径债务率409.94%、处于偏高水平，已显著高于公认的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忻州市一般公共预算收入分别为147.67亿元、136.97亿元、148.17亿元，其中税收收入110.68亿元、91.91亿元、93.71亿元，税收占比维持在74.95%、67.10%、63.24%；一般公共预算支出455.75亿元、474.18亿元、469.38亿元，财政自给率32.40%、28.89%、31.57%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政府性基金收入方面，2023、2024、2025年分别为26.19亿元、22.05亿元、25.16亿元，政府性基金收入总体平稳，反映地方综合财力对房地产周期的敞口。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图表：2023-2025年忻州市财政收入情况(单位:亿元、%)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147.67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136.97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-7.25%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8.18%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-16.96%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74.95%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63.24%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474.18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469.38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-1.01%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28.89%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31.57%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-15.81%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14.10%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资料来源:忻州市财政决算、企业预警通,风控信评部整理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土地市场方面，【待补充:忻州市土地出让与房地产销售数据（土地市场数据库未覆盖该市）】。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忻州市地方政府债务余额分别为487.39亿元、553.34亿元、631.96亿元，2025年末债务限额631.96亿元，债务余额控制在限额以内；城投有息债务2025年末估算余额83.34亿元。债务率指标看，2025年末政府债务率362.18%、城投债务率47.76%、宽口径债务率409.94%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忻州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