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临沧市信用评级报告(区域部分)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临沧作为云南省下辖地级市，经济总量列云南省第11位，人均GDP约5.17万元、人均经济实力在省内相对靠后，经济增速由3.80%回落至0.20%、有所放缓；固定资产投资连续负增长（最新-27.90%），经济动能仍有待修复。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临沧市2023、2024、2025年地区生产总值分别为1,107.40亿元、1,122.79亿元、1,127.75亿元，同比增长3.80%、3.60%、0.20%。截至2025年末，全市常住人口217.10万人，人均GDP约5.17万元。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产业结构方面，2025年临沧市三次产业结构为30.7:20.6:48.7，第三产业占主导、服务业是经济主体，农业基础较好。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2023、2024、2025年固定资产投资增速分别为-6.40%、-8.17%、-27.90%，2025年社会消费品零售总额459.16亿元，进出口总额6.46亿美元。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图表：2025年云南省各地级市主要经济指标对比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昆明市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8,637.45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4.1:28.7:67.2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874.40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曲靖市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14.3:34:51.7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红河哈尼族彝族自治州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3,154.52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13:35:52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2,688.30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9.66:41.36:48.98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昭通市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12.7:38.2:49.1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479.20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大理白族自治州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2,087.51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20.3:27.9:51.8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楚雄彝族自治州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2,040.17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18.1:38.6:43.3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文山壮族苗族自治州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1,632.64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16.7:36:47.3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保山市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1,347.01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22.3:32.3:45.4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237.40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普洱市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1,252.40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23.2:23.2:53.6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230.70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临沧市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1,127.75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30.7:20.6:48.7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217.10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西双版纳傣族自治州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21.1:23:55.9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丽江市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744.27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11.9:33.9:54.2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德宏傣族景颇族自治州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迪庆藏族自治州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316.65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怒江傈僳族自治州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临沧市2025年GDP总量1,127.75亿元、列全省第11位，一般公共预算收入51.54亿元、列全省第12位。整体来看，临沧市经济基本面在云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临沧市财政体量在云南省处于中游，税收占比49.18%、税收占比处于一般水平，但政府性基金收入较2023年累计下降37%、土地财政贡献度弱化；2025年末宽口径债务率197.44%、处于可控水平，整体处于可控水平。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临沧市一般公共预算收入分别为50.19亿元、50.76亿元、51.54亿元，其中税收收入24.28亿元、24.72亿元、25.35亿元，税收占比维持在48.38%、48.70%、49.18%；一般公共预算支出268.11亿元、270.98亿元、266.52亿元，财政自给率18.72%、18.73%、19.34%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政府性基金收入方面，2023、2024、2025年分别为24.05亿元、20.23亿元、15.11亿元，政府性基金收入较2023年累计下降37%、土地财政贡献度弱化，反映地方综合财力对房地产周期的敞口。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图表：2023-2025年临沧市财政收入情况(单位:亿元、%)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1.54%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1.81%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2.55%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48.38%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49.18%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268.11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270.98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1.07%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266.52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-1.65%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18.72%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18.73%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19.34%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-15.88%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-25.31%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资料来源:临沧市财政决算、企业预警通,风控信评部整理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土地市场方面，【待补充:临沧市土地出让与房地产销售数据（土地市场数据库未覆盖该市）】。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临沧市地方政府债务余额分别为526.10亿元、587.10亿元、689.07亿元，2025年末债务限额701.62亿元，债务余额控制在限额以内；城投有息债务2025年末估算余额41.40亿元。债务率指标看，2025年末政府债务率186.25%、城投债务率11.19%、宽口径债务率197.44%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临沧市财政基本盘总体稳健，但土地财政收缩与债务规模扩张是当前主要压力线；我们预计宽口径债务率短期内将维持可控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