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丽江市信用评级报告(区域部分)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丽江作为云南省下辖地级市，经济总量列云南省第13位，人均经济实力居省内中游，经济增速由7.50%回落至4.50%、有所放缓；固定资产投资最新增速0.60%，经济运行总体平稳。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丽江市2023、2024、2025年地区生产总值分别为685.54亿元、708.51亿元、744.27亿元，同比增长7.50%、4.60%、4.50%。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产业结构方面，2025年丽江市三次产业结构为11.9:33.9:54.2，第三产业占主导、服务业是经济主体。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2023、2024、2025年固定资产投资增速分别为0.30%、1.50%、0.60%，2025年社会消费品零售总额334.05亿元，进出口总额0.36亿美元。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丽江市2025年GDP总量744.27亿元、列全省第13位，一般公共预算收入56.78亿元、列全省第11位。整体来看，丽江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丽江市财政体量在云南省处于中游，税收占比50.86%、税收占比处于一般水平，但政府性基金收入较2023年累计增长19%；2025年末宽口径债务率256.51%、处于中等偏高水平，处于相对偏高区间，需关注债务扩张节奏。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丽江市一般公共预算收入分别为46.77亿元、56.67亿元、56.78亿元，其中税收收入25.06亿元、25.04亿元、28.88亿元，税收占比维持在53.59%、44.19%、50.86%；一般公共预算支出175.29亿元、181.01亿元、176.32亿元，财政自给率26.68%、31.31%、32.20%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政府性基金收入方面，2023、2024、2025年分别为14.35亿元、15.13亿元、17.07亿元，政府性基金收入较2023年累计增长19%，反映地方综合财力对房地产周期的敞口。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图表：2023-2025年丽江市财政收入情况(单位:亿元、%)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资料来源:丽江市财政决算、企业预警通,风控信评部整理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土地市场方面，【待补充:丽江市土地出让与房地产销售数据（土地市场数据库未覆盖该市）】。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丽江市地方政府债务余额分别为419.40亿元、453.03亿元、478.08亿元，2025年末债务限额486.66亿元，债务余额控制在限额以内；城投有息债务2025年末估算余额39.26亿元。债务率指标看，2025年末政府债务率237.04%、城投债务率19.47%、宽口径债务率256.51%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丽江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