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昆明市信用评级报告(区域部分)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昆明作为云南省省会，经济总量在云南省稳居第一，人均GDP约9.89万元、人均经济实力居全省前列，经济增速由3.40%回升至4.20%、动能边际改善；固定资产投资连续负增长（最新-9.90%），经济动能仍有待修复。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昆明市2023、2024、2025年地区生产总值分别为7,984.79亿元、8,257.64亿元、8,637.45亿元，同比增长3.40%、3.90%、4.20%。截至2025年末，全市常住人口874.40万人，人均GDP约9.89万元。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产业结构方面，2025年昆明市三次产业结构为4.1:28.7:67.2，以烟草、有色冶金、生物医药、旅游为支柱，聚集云南中烟等企业，是面向南亚东南亚的门户城市。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2023、2024、2025年固定资产投资增速分别为-24.90%、-12.02%、-9.90%，2025年社会消费品零售总额3,817.69亿元，进出口总额230.23亿美元。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图表：2025年云南省各地级市主要经济指标对比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昆明市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8,637.45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4.1:28.7:67.2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874.40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曲靖市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14.3:34:51.7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红河哈尼族彝族自治州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3,154.52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13:35:52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9.66:41.36:48.98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昭通市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12.7:38.2:49.1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479.20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大理白族自治州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2,087.51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20.3:27.9:51.8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楚雄彝族自治州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18.1:38.6:43.3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文山壮族苗族自治州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1,632.64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16.7:36:47.3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22.3:32.3:45.4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普洱市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23.2:23.2:53.6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30.7:20.6:48.7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西双版纳傣族自治州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21.1:23:55.9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11.9:33.9:54.2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德宏傣族景颇族自治州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迪庆藏族自治州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怒江傈僳族自治州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昆明市2025年GDP总量8,637.45亿元、列全省第一位，一般公共预算收入575.00亿元、列全省第一位。整体来看，昆明市经济基本面在云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昆明市财政体量在云南省稳居第一，税收占比82.72%、税收质量较好，但政府性基金收入较2023年累计增长160%；2025年末宽口径债务率373.22%、处于偏高水平，已显著高于公认的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昆明市一般公共预算收入分别为558.00亿元、547.22亿元、575.00亿元，其中税收收入442.72亿元、453.92亿元、475.66亿元，税收占比维持在79.34%、82.95%、82.72%；一般公共预算支出837.79亿元、842.85亿元、843.47亿元，财政自给率66.60%、64.93%、68.17%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政府性基金收入方面，2023、2024、2025年分别为157.94亿元、234.88亿元、410.28亿元，政府性基金收入较2023年累计增长160%，反映地方综合财力对房地产周期的敞口。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图表：2023-2025年昆明市财政收入情况(单位:亿元、%)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453.92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837.79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157.94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410.28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74.68%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资料来源:昆明市财政决算、企业预警通,风控信评部整理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土地市场方面，【待补充:昆明市土地出让与房地产销售数据（土地市场数据库未覆盖该市）】。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昆明市地方政府债务余额分别为2,566.20亿元、2,842.03亿元、3,132.10亿元，2025年末债务限额3,267.10亿元，债务余额控制在限额以内；城投有息债务2025年末估算余额3,805.99亿元。债务率指标看，2025年末政府债务率168.49%、城投债务率204.74%、宽口径债务率373.22%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昆明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