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普洱市信用评级报告(区域部分)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普洱作为云南省下辖地级市，经济总量列云南省第十位，人均GDP约5.39万元、人均经济实力居全省中游，经济增速由3.60%回升至5.10%、动能边际改善；固定资产投资连续负增长（最新-12.60%），经济动能仍有待修复。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普洱市2023、2024、2025年地区生产总值分别为1,159.41亿元、1,186.39亿元、1,252.40亿元，同比增长3.60%、3.00%、5.10%。截至2025年末，全市常住人口230.70万人，人均GDP约5.39万元。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产业结构方面，2025年普洱市三次产业结构为23.2:23.2:53.6，第三产业占主导、服务业是经济主体，农业基础较好。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2023、2024、2025年固定资产投资增速分别为-14.30%、-9.34%、-12.60%，2025年社会消费品零售总额468.61亿元，进出口总额9.41亿美元。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普洱市2025年GDP总量1,252.40亿元、列全省第十位，一般公共预算收入62.57亿元、列全省第十位。整体来看，普洱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普洱市财政体量在云南省处于中游，税收占比57.63%、税收占比处于一般水平，但政府性基金收入较2023年累计下降21%、土地财政贡献度弱化；2025年末宽口径债务率265.07%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普洱市一般公共预算收入分别为72.45亿元、74.47亿元、62.57亿元，其中税收收入33.08亿元、31.99亿元、36.06亿元，税收占比维持在45.67%、42.96%、57.63%；一般公共预算支出326.71亿元、324.13亿元、306.28亿元，财政自给率22.17%、22.98%、20.43%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政府性基金收入方面，2023、2024、2025年分别为24.72亿元、22.69亿元、19.53亿元，政府性基金收入较2023年累计下降21%、土地财政贡献度弱化，反映地方综合财力对房地产周期的敞口。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图表：2023-2025年普洱市财政收入情况(单位:亿元、%)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-15.98%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326.71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-13.93%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资料来源:普洱市财政决算、企业预警通,风控信评部整理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土地市场方面，【待补充:普洱市土地出让与房地产销售数据（土地市场数据库未覆盖该市）】。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普洱市地方政府债务余额分别为511.50亿元、600.10亿元、707.36亿元，2025年末债务限额720.72亿元，债务余额控制在限额以内；城投有息债务2025年末估算余额212.71亿元。债务率指标看，2025年末政府债务率203.79%、城投债务率61.28%、宽口径债务率265.07%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普洱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