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玉溪市信用评级报告(区域部分)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玉溪作为云南省下辖地级市，经济总量列云南省第四位，人均GDP约11.89万元、人均经济实力居全省前列，经济增速由3.50%回升至4.40%、动能边际改善；固定资产投资最新增速2.00%，经济运行总体平稳。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玉溪市2023、2024、2025年地区生产总值分别为2,504.00亿元、2,582.05亿元、2,688.30亿元，同比增长3.50%、3.80%、4.40%。截至2025年末，全市常住人口225.50万人，人均GDP约11.89万元。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产业结构方面，2025年玉溪市三次产业结构为9.66:41.36:48.98，第三产业占主导、服务业是经济主体。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2023、2024、2025年固定资产投资增速分别为-18.30%、9.25%、2.00%，2025年社会消费品零售总额905.80亿元，进出口总额7.84亿美元。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图表：2025年云南省各地级市主要经济指标对比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昆明市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8,637.45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4.1:28.7:67.2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874.40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曲靖市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14.3:34:51.7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红河哈尼族彝族自治州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3,154.52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13:35:52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9.66:41.36:48.98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昭通市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12.7:38.2:49.1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479.20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大理白族自治州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2,087.51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20.3:27.9:51.8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楚雄彝族自治州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2,040.17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18.1:38.6:43.3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文山壮族苗族自治州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1,632.64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16.7:36:47.3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保山市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22.3:32.3:45.4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普洱市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1,252.40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23.2:23.2:53.6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1,127.75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30.7:20.6:48.7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西双版纳傣族自治州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21.1:23:55.9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丽江市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11.9:33.9:54.2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德宏傣族景颇族自治州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迪庆藏族自治州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怒江傈僳族自治州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288.98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玉溪市2025年GDP总量2,688.30亿元、列全省第四位，一般公共预算收入148.21亿元、列全省第四位。整体来看，玉溪市经济基本面在云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玉溪市财政体量在云南省处于中游，税收占比69.20%、税收质量较好，但政府性基金收入较2023年累计下降30%、土地财政贡献度弱化；2025年末宽口径债务率293.23%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玉溪市一般公共预算收入分别为134.76亿元、157.81亿元、148.21亿元，其中税收收入100.25亿元、97.53亿元、102.56亿元，税收占比维持在74.39%、61.81%、69.20%；一般公共预算支出248.07亿元、279.74亿元、300.55亿元，财政自给率54.32%、56.41%、49.31%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政府性基金收入方面，2023、2024、2025年分别为38.73亿元、64.79亿元、27.05亿元，政府性基金收入较2023年累计下降30%、土地财政贡献度弱化，反映地方综合财力对房地产周期的敞口。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图表：2023-2025年玉溪市财政收入情况(单位:亿元、%)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134.76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157.81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-6.08%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-58.25%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资料来源:玉溪市财政决算、企业预警通,风控信评部整理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土地市场方面，【待补充:玉溪市土地出让与房地产销售数据（土地市场数据库未覆盖该市）】。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玉溪市地方政府债务余额分别为747.00亿元、876.40亿元、1,003.15亿元，2025年末债务限额1,032.16亿元，债务余额控制在限额以内；城投有息债务2025年末估算余额219.56亿元。债务率指标看，2025年末政府债务率240.57%、城投债务率52.65%、宽口径债务率293.23%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玉溪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