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西双版纳傣族自治州信用评级报告(区域部分)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西双版纳傣族自治州作为云南省下辖的民族自治地区，经济总量列云南省第12位，人均GDP约6.98万元、人均经济实力居全省前列，经济增速由5.00%回落至4.40%、有所放缓；固定资产投资最新增速6.30%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西双版纳傣族自治州2023、2024、2025年地区生产总值分别为856.50亿元、900.09亿元、940.83亿元，同比增长5.00%、3.60%、4.40%。截至2025年末，全市常住人口135.90万人，人均GDP约6.98万元。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产业结构方面，2025年西双版纳傣族自治州三次产业结构为21.1:23:55.9，第三产业占主导、服务业是经济主体，农业基础较好。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2023、2024、2025年固定资产投资增速分别为6.00%、1.40%、6.30%，2025年社会消费品零售总额437.24亿元，进出口总额104.02亿美元。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西双版纳傣族自治州2025年GDP总量940.83亿元、列全省第12位，一般公共预算收入39.92亿元、列全省第13位。整体来看，西双版纳傣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西双版纳傣族自治州财政体量在云南省处于中游，税收占比70.42%、税收质量较好，但政府性基金收入总体平稳；2025年末宽口径债务率223.82%、处于中等偏高水平，处于相对偏高区间，需关注债务扩张节奏。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西双版纳傣族自治州一般公共预算收入分别为39.09亿元、38.57亿元、39.92亿元，其中税收收入27.89亿元、27.02亿元、28.11亿元，税收占比维持在71.33%、70.06%、70.42%；一般公共预算支出160.64亿元、152.67亿元、145.60亿元，财政自给率24.34%、25.27%、27.42%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政府性基金收入方面，2023、2024、2025年分别为24.23亿元、24.55亿元、23.31亿元，政府性基金收入总体平稳，反映地方综合财力对房地产周期的敞口。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图表：2023-2025年西双版纳傣族自治州财政收入情况(单位:亿元、%)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资料来源:西双版纳傣族自治州财政决算、企业预警通,风控信评部整理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土地市场方面，【待补充:西双版纳傣族自治州土地出让与房地产销售数据（土地市场数据库未覆盖该市）】。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西双版纳傣族自治州地方政府债务余额分别为260.40亿元、305.40亿元、340.34亿元，2025年末债务限额347.60亿元，债务余额控制在限额以内；城投有息债务2025年末估算余额71.24亿元。债务率指标看，2025年末政府债务率185.08%、城投债务率38.74%、宽口径债务率223.82%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西双版纳傣族自治州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