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乌兰察布市信用评级报告(区域部分)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乌兰察布作为内蒙古自治区下辖地级市，经济总量列内蒙古自治区第九位，人均GDP约8.03万元、人均经济实力在省内相对靠后，经济增速由8.00%回落至4.80%、有所放缓；固定资产投资最新增速11.00%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乌兰察布市2023、2024、2025年地区生产总值分别为1,146.52亿元、1,214.30亿元、1,260.30亿元，同比增长8.00%、5.40%、4.80%。截至2025年末，全市常住人口155.70万人，人均GDP约8.03万元。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产业结构方面，2025年乌兰察布市三次产业结构为16.2:32.6:51.2，第三产业占主导、服务业是经济主体，农业基础较好。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2023、2024、2025年固定资产投资增速分别为23.40%、4.40%、11.00%，2025年社会消费品零售总额251.95亿元，进出口总额6.02亿美元。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乌兰察布市2025年GDP总量1,260.30亿元、列全省第九位，一般公共预算收入76.90亿元、列全省第十位。整体来看，乌兰察布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乌兰察布市财政体量在内蒙古自治区处于中游，税收占比71.52%、税收质量较好，但政府性基金收入总体平稳；2025年末宽口径债务率1205.53%、处于偏高水平，已显著高于公认的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乌兰察布市一般公共预算收入分别为67.92亿元、70.17亿元、76.90亿元，其中税收收入46.90亿元、51.21亿元、55.00亿元，税收占比维持在69.05%、72.98%、71.52%；一般公共预算支出415.83亿元、405.39亿元、424.30亿元，财政自给率16.33%、17.31%、18.12%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政府性基金收入方面，2023、2024、2025年分别为24.49亿元、19.33亿元、26.50亿元，政府性基金收入总体平稳，反映地方综合财力对房地产周期的敞口。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图表：2023-2025年乌兰察布市财政收入情况(单位:亿元、%)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资料来源:乌兰察布市财政决算、企业预警通,风控信评部整理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土地市场方面，【待补充:乌兰察布市土地出让与房地产销售数据（土地市场数据库未覆盖该市）】。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乌兰察布市地方政府债务余额分别为933.58亿元、1,006.81亿元、1,092.92亿元，2025年末债务限额1,148.00亿元，债务余额控制在限额以内；城投有息债务2025年末估算余额166.86亿元。债务率指标看，2025年末政府债务率1045.86%、城投债务率159.67%、宽口径债务率1205.53%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乌兰察布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