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兴安盟信用评级报告(区域部分)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兴安盟作为内蒙古自治区下辖的民族自治地区，经济总量列内蒙古自治区第十位，人均GDP约6.23万元、人均经济实力在省内相对靠后，经济增速由5.60%回落至4.50%、有所放缓；固定资产投资最新增速2.50%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兴安盟2023、2024、2025年地区生产总值分别为770.20亿元、807.70亿元、850.09亿元，同比增长5.60%、4.40%、4.50%。截至2025年末，全市常住人口135.50万人，人均GDP约6.23万元。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产业结构方面，2025年兴安盟三次产业结构为34.9:23.2:41.9，第三产业占主导、服务业是经济主体，农业基础较好。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2023、2024、2025年固定资产投资增速分别为17.90%、3.10%、2.50%，2025年社会消费品零售总额185.47亿元，进出口总额0.37亿美元。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兴安盟2025年GDP总量850.09亿元、列全省第十位，一般公共预算收入41.40亿元、列全省第11位。整体来看，兴安盟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兴安盟财政体量在内蒙古自治区处于中游，税收占比67.68%、税收质量较好，但政府性基金收入较2023年累计下降16%、土地财政贡献度弱化；2025年末宽口径债务率1108.81%、处于偏高水平，已显著高于公认的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兴安盟一般公共预算收入分别为41.42亿元、44.85亿元、41.40亿元，其中税收收入28.68亿元、23.69亿元、28.02亿元，税收占比维持在69.23%、52.82%、67.68%；一般公共预算支出351.98亿元、374.35亿元、322.30亿元，财政自给率11.77%、11.98%、12.85%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政府性基金收入方面，2023、2024、2025年分别为9.80亿元、10.91亿元、8.20亿元，政府性基金收入较2023年累计下降16%、土地财政贡献度弱化，反映地方综合财力对房地产周期的敞口。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图表：2023-2025年兴安盟财政收入情况(单位:亿元、%)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-24.84%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资料来源:兴安盟财政决算、企业预警通,风控信评部整理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土地市场方面，【待补充:兴安盟土地出让与房地产销售数据（土地市场数据库未覆盖该市）】。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兴安盟地方政府债务余额分别为433.49亿元、469.75亿元、513.90亿元，2025年末债务限额535.00亿元，债务余额控制在限额以内；城投有息债务2025年末估算余额36.58亿元。债务率指标看，2025年末政府债务率1035.13%、城投债务率73.68%、宽口径债务率1108.81%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兴安盟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