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包头市信用评级报告(区域部分)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包头作为内蒙古自治区下辖地级市，经济总量列内蒙古自治区第二位，人均GDP约17.01万元、人均经济实力居全省前列，经济增速由10.20%回落至5.40%、有所放缓；固定资产投资最新增速6.20%，经济运行总体平稳。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包头市2023、2024、2025年地区生产总值分别为4,270.10亿元、4,575.20亿元、4,711.90亿元，同比增长10.20%、7.90%、5.40%。截至2025年末，全市常住人口277.40万人，人均GDP约17.01万元。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产业结构方面，2025年包头市三次产业结构为3.2:46:50.8，第三产业占主导、服务业是经济主体。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2023、2024、2025年固定资产投资增速分别为24.30%、18.60%、6.20%，2025年社会消费品零售总额939.50亿元，进出口总额35.07亿美元。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图表：2025年内蒙古自治区各地级市主要经济指标对比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鄂尔多斯市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3.7:68.1:28.2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包头市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4,711.90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3.2:46:50.8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183.71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呼和浩特市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4,278.30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4.2:30.1:65.6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赤峰市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21.1:25.5:53.4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呼伦贝尔市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24.2:29.3:46.5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通辽市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1,737.70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26.1:29:44.9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锡林郭勒盟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15.2:47.4:37.4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巴彦淖尔市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27.3:27.6:45.1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147.00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乌兰察布市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1,260.30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兴安盟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34.9:23.2:41.9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540.75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1.6:45.7:52.7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阿拉善盟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418.80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9:46.3:44.7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26.80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包头市2025年GDP总量4,711.90亿元、列全省第二位，一般公共预算收入183.71亿元、列全省第三位。整体来看，包头市经济基本面在内蒙古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包头市财政体量在内蒙古自治区位居前列，税收占比72.51%、税收质量较好，但政府性基金收入较2023年累计下降51%、土地财政贡献度弱化；2025年末宽口径债务率835.03%、处于偏高水平，已显著高于公认的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包头市一般公共预算收入分别为200.55亿元、208.57亿元、183.71亿元，其中税收收入163.87亿元、146.01亿元、133.20亿元，税收占比维持在81.71%、70.01%、72.51%；一般公共预算支出475.00亿元、465.27亿元、431.79亿元，财政自给率42.22%、44.83%、42.55%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政府性基金收入方面，2023、2024、2025年分别为55.39亿元、45.44亿元、27.05亿元，政府性基金收入较2023年累计下降51%、土地财政贡献度弱化，反映地方综合财力对房地产周期的敞口。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图表：2023-2025年包头市财政收入情况(单位:亿元、%)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183.71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-11.92%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163.87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-8.77%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431.79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-7.20%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-40.47%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资料来源:包头市财政决算、企业预警通,风控信评部整理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土地市场方面，【待补充:包头市土地出让与房地产销售数据（土地市场数据库未覆盖该市）】。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包头市地方政府债务余额分别为1,280.45亿元、1,374.56亿元、1,500.37亿元，2025年末债务限额1,582.00亿元，债务余额控制在限额以内；城投有息债务2025年末估算余额277.24亿元。债务率指标看，2025年末政府债务率704.80%、城投债务率130.23%、宽口径债务率835.03%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包头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