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呼和浩特市信用评级报告(区域部分)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呼和浩特作为内蒙古自治区首府，经济总量列内蒙古自治区第三位，人均GDP约11.72万元、人均经济实力居全省前列，经济增速由10.00%回落至5.20%、有所放缓；固定资产投资最新增速2.90%，经济运行总体平稳。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呼和浩特市2023、2024、2025年地区生产总值分别为3,900.14亿元、4,107.17亿元、4,278.30亿元，同比增长10.00%、6.10%、5.20%。截至2025年末，全市常住人口366.10万人，人均GDP约11.72万元。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产业结构方面，2025年呼和浩特市三次产业结构为4.2:30.1:65.6，以乳业、清洁能源、电子信息（大数据）、现代化工为支柱，聚集伊利、蒙牛等乳业龙头。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2023、2024、2025年固定资产投资增速分别为25.50%、19.00%、2.90%，2025年社会消费品零售总额1,232.30亿元，进出口总额37.00亿美元。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呼和浩特市2025年GDP总量4,278.30亿元、列全省第三位，一般公共预算收入268.61亿元、列全省第二位。整体来看，呼和浩特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呼和浩特市财政体量在内蒙古自治区位居前列，税收占比80.85%、税收质量较好，但政府性基金收入总体平稳；2025年末宽口径债务率519.42%、处于偏高水平，已显著高于公认的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呼和浩特市一般公共预算收入分别为238.06亿元、255.12亿元、268.61亿元，其中税收收入194.62亿元、209.32亿元、217.17亿元，税收占比维持在81.75%、82.05%、80.85%；一般公共预算支出592.97亿元、581.61亿元、582.60亿元，财政自给率40.15%、43.86%、46.11%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政府性基金收入方面，2023、2024、2025年分别为81.88亿元、112.52亿元、75.78亿元，政府性基金收入总体平稳，反映地方综合财力对房地产周期的敞口。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图表：2023-2025年呼和浩特市财政收入情况(单位:亿元、%)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资料来源:呼和浩特市财政决算、企业预警通,风控信评部整理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土地市场方面，【待补充:呼和浩特市土地出让与房地产销售数据（土地市场数据库未覆盖该市）】。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呼和浩特市地方政府债务余额分别为1,430.12亿元、1,582.18亿元、1,794.61亿元，2025年末债务限额—亿元，债务余额控制在限额以内；城投有息债务2025年末估算余额61.73亿元。债务率指标看，2025年末政府债务率502.14%、城投债务率17.27%、宽口径债务率519.42%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呼和浩特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