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赤峰市信用评级报告(区域部分)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赤峰作为内蒙古自治区下辖地级市，经济总量列内蒙古自治区第四位，人均GDP约6.16万元、人均经济实力在省内相对靠后，经济增速维持在4.90%左右、总体平稳；固定资产投资最新增速7.00%，经济运行总体平稳。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赤峰市2023、2024、2025年地区生产总值分别为2,221.22亿元、2,328.30亿元、2,407.10亿元，同比增长4.90%、4.50%、4.90%。截至2025年末，全市常住人口388.70万人，人均GDP约6.16万元。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产业结构方面，2025年赤峰市三次产业结构为21.1:25.5:53.4，第三产业占主导、服务业是经济主体，农业基础较好。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2023、2024、2025年固定资产投资增速分别为9.03%、12.80%、7.00%，2025年社会消费品零售总额668.40亿元，进出口总额47.81亿美元。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赤峰市2025年GDP总量2,407.10亿元、列全省第四位，一般公共预算收入126.25亿元、列全省第五位。整体来看，赤峰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赤峰市财政体量在内蒙古自治区处于中游，税收占比61.87%、税收质量较好，但政府性基金收入总体平稳；2025年末宽口径债务率760.34%、处于偏高水平，已显著高于公认的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赤峰市一般公共预算收入分别为121.33亿元、135.39亿元、126.25亿元，其中税收收入80.34亿元、73.08亿元、78.11亿元，税收占比维持在66.22%、53.98%、61.87%；一般公共预算支出678.26亿元、688.06亿元、687.27亿元，财政自给率17.89%、19.68%、18.37%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政府性基金收入方面，2023、2024、2025年分别为51.27亿元、43.09亿元、46.69亿元，政府性基金收入总体平稳，反映地方综合财力对房地产周期的敞口。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图表：2023-2025年赤峰市财政收入情况(单位:亿元、%)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688.06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资料来源:赤峰市财政决算、企业预警通,风控信评部整理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土地市场方面，【待补充:赤峰市土地出让与房地产销售数据（土地市场数据库未覆盖该市）】。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赤峰市地方政府债务余额分别为756.93亿元、881.02亿元、1,075.80亿元，2025年末债务限额1,183.00亿元，债务余额控制在限额以内；城投有息债务2025年末估算余额267.99亿元。债务率指标看，2025年末政府债务率608.71%、城投债务率151.63%、宽口径债务率760.34%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赤峰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