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惠州市信用评级报告(区域部分)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惠州经济总量列广东省第五位，人均GDP约10.34万元、人均经济实力居全省前列，经济增速由5.78%回落至4.51%、有所放缓；固定资产投资连续负增长（最新-23.80%），经济动能仍有待修复。【待补充：惠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惠州市2023、2024、2025年地区生产总值分别为5,944.71亿元、6,183.02亿元、6,363.66亿元，同比增长5.78%、4.40%、4.51%。截至2025年末，全市常住人口619.30万人，人均GDP约10.34万元。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产业结构方面，2025年惠州市三次产业结构为5.24:53.18:41.58。【待补充：支柱产业、主要龙头企业、对外贸易等定性描述（数据库未覆盖）】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2023、2024、2025年固定资产投资增速分别为5.30%、-19.39%、-23.80%，2025年社会消费品零售总额2,093.22亿元，进出口总额599.55亿美元。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惠州市2025年GDP总量6,363.66亿元、列全省第五位，一般公共预算收入538.68亿元、列全省第五位。整体来看，惠州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惠州市财政体量在广东省处于中游，税收占比55.84%、税收占比处于一般水平，但政府性基金收入较2023年累计下降50%、土地财政贡献度弱化；2025年末宽口径债务率446.69%、处于偏高水平，已显著高于公认的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惠州市一般公共预算收入分别为473.30亿元、476.10亿元、538.68亿元，其中税收收入282.50亿元、251.50亿元、300.80亿元，税收占比维持在59.69%、52.83%、55.84%；一般公共预算支出726.73亿元、703.40亿元、705.24亿元，财政自给率65.13%、67.69%、76.38%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政府性基金收入方面，2023、2024、2025年分别为182.88亿元、111.70亿元、90.70亿元，政府性基金收入较2023年累计下降50%、土地财政贡献度弱化，反映地方综合财力对房地产周期的敞口。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图表：2023-2025年惠州市财政收入情况(单位:亿元、%)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726.73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-38.92%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-18.80%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资料来源:惠州市财政决算、企业预警通,风控信评部整理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惠州市经营性用地成交价分别为290.99亿元、190.28亿元、200.11亿元、92.54亿元、143.24亿元，2025年较2021年下降50.77%；同期平均溢价率为9.62%、0.86%、0.07%、0.04%、0.00%；成交楼面均价由1,001元/㎡降至927元/㎡、累计下降7.39%。2026年1-4月，惠州市经营性用地累计成交83宗、规划建面488.41万㎡、成交价32.83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图表:2021-2025年惠州市土地出让情况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2,904.45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9.62%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290.99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2,624.61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190.28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2,139.08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1,732.78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92.54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1,540.13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143.24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488.41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32.83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惠州市商品住宅成交面积由1,030.76万㎡变动至327.98万㎡、累计下降68.2%；新房均价2025年为8,622元/㎡、较2023年高点(13,281元/㎡)累计下跌35.08%；2025年去化周期31.56个月。据中指冰山指数(最低挂牌价口径)，惠州二手房挂牌价较2021年5月高点累计下跌47.43%，2023年累计跌幅-17.83%、2024年累计跌幅-16.15%、2025年累计跌幅-11.15%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惠州市地方政府债务余额分别为1,231.42亿元、1,508.41亿元、1,759.82亿元，2025年末债务限额1,766.87亿元，债务余额控制在限额以内；城投有息债务2025年末估算余额1,145.80亿元。债务率指标看，2025年末政府债务率270.54%、城投债务率176.15%、宽口径债务率446.69%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惠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