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揭阳市信用评级报告(区域部分)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揭阳经济总量列广东省第13位，人均GDP约4.49万元、人均经济实力在省内相对靠后，经济增速由7.46%回落至3.20%、有所放缓；固定资产投资连续负增长（最新-7.00%），经济动能仍有待修复。【待补充：揭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揭阳市2023、2024、2025年地区生产总值分别为2,450.31亿元、2,501.00亿元、2,553.75亿元，同比增长7.46%、3.60%、3.20%。截至2025年末，全市常住人口568.72万人，人均GDP约4.49万元。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产业结构方面，2025年揭阳市三次产业结构为9.7:35:55.3。【待补充：支柱产业、主要龙头企业、对外贸易等定性描述（数据库未覆盖）】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2023、2024、2025年固定资产投资增速分别为-19.10%、0.89%、-7.00%，2025年社会消费品零售总额900.88亿元，进出口总额19.04亿美元。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揭阳市2025年GDP总量2,553.75亿元、列全省第13位，一般公共预算收入130.12亿元、列全省第14位。整体来看，揭阳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揭阳市财政体量在广东省处于中游，税收占比63.89%、税收质量较好，但政府性基金收入较2023年累计下降42%、土地财政贡献度弱化；2025年末宽口径债务率488.10%、处于偏高水平，已显著高于公认的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揭阳市一般公共预算收入分别为101.11亿元、101.79亿元、130.12亿元，其中税收收入43.88亿元、54.62亿元、83.13亿元，税收占比维持在43.39%、53.66%、63.89%；一般公共预算支出386.86亿元、350.76亿元、383.58亿元，财政自给率26.14%、29.02%、33.92%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政府性基金收入方面，2023、2024、2025年分别为42.77亿元、26.96亿元、24.98亿元，政府性基金收入较2023年累计下降42%、土地财政贡献度弱化，反映地方综合财力对房地产周期的敞口。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图表：2023-2025年揭阳市财政收入情况(单位:亿元、%)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27.83%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-7.34%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资料来源:揭阳市财政决算、企业预警通,风控信评部整理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土地市场方面，【待补充:揭阳市土地出让与房地产销售数据（土地市场数据库未覆盖该市）】。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揭阳市地方政府债务余额分别为501.63亿元、588.86亿元、741.87亿元，2025年末债务限额744.26亿元，债务余额控制在限额以内；城投有息债务2025年末估算余额17.04亿元。债务率指标看，2025年末政府债务率477.14%、城投债务率10.96%、宽口径债务率488.10%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揭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